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04861" w14:textId="44D8F711" w:rsidR="00F110CD" w:rsidRPr="004F0D45" w:rsidRDefault="00F110CD" w:rsidP="005D664D">
      <w:pPr>
        <w:pStyle w:val="Header"/>
        <w:tabs>
          <w:tab w:val="right" w:pos="9639"/>
        </w:tabs>
        <w:jc w:val="both"/>
        <w:rPr>
          <w:bCs/>
          <w:noProof w:val="0"/>
          <w:sz w:val="24"/>
          <w:szCs w:val="24"/>
          <w:lang w:val="en-GB"/>
        </w:rPr>
      </w:pPr>
      <w:bookmarkStart w:id="0" w:name="_Hlk142299101"/>
      <w:bookmarkStart w:id="1" w:name="_Hlk37418177"/>
      <w:bookmarkEnd w:id="0"/>
      <w:r w:rsidRPr="004F0D45">
        <w:rPr>
          <w:bCs/>
          <w:noProof w:val="0"/>
          <w:sz w:val="24"/>
          <w:szCs w:val="24"/>
          <w:lang w:val="en-GB"/>
        </w:rPr>
        <w:t>3GPP TSG RA</w:t>
      </w:r>
      <w:r w:rsidR="00BA1872" w:rsidRPr="004F0D45">
        <w:rPr>
          <w:bCs/>
          <w:noProof w:val="0"/>
          <w:sz w:val="24"/>
          <w:szCs w:val="24"/>
          <w:lang w:val="en-GB"/>
        </w:rPr>
        <w:t>N WG1</w:t>
      </w:r>
      <w:r w:rsidR="00DE1B83" w:rsidRPr="004F0D45">
        <w:rPr>
          <w:bCs/>
          <w:noProof w:val="0"/>
          <w:sz w:val="24"/>
          <w:szCs w:val="24"/>
          <w:lang w:val="en-GB"/>
        </w:rPr>
        <w:t xml:space="preserve"> Meeting</w:t>
      </w:r>
      <w:r w:rsidR="00BA1872" w:rsidRPr="004F0D45">
        <w:rPr>
          <w:bCs/>
          <w:noProof w:val="0"/>
          <w:sz w:val="24"/>
          <w:szCs w:val="24"/>
          <w:lang w:val="en-GB"/>
        </w:rPr>
        <w:t xml:space="preserve"> </w:t>
      </w:r>
      <w:r w:rsidR="00B65452" w:rsidRPr="004F0D45">
        <w:rPr>
          <w:bCs/>
          <w:noProof w:val="0"/>
          <w:sz w:val="24"/>
          <w:szCs w:val="24"/>
          <w:lang w:val="en-GB"/>
        </w:rPr>
        <w:t>#</w:t>
      </w:r>
      <w:r w:rsidR="00191E79" w:rsidRPr="004F0D45">
        <w:rPr>
          <w:bCs/>
          <w:noProof w:val="0"/>
          <w:sz w:val="24"/>
          <w:szCs w:val="24"/>
          <w:lang w:val="en-GB"/>
        </w:rPr>
        <w:t>1</w:t>
      </w:r>
      <w:r w:rsidR="00F07F6F" w:rsidRPr="004F0D45">
        <w:rPr>
          <w:bCs/>
          <w:noProof w:val="0"/>
          <w:sz w:val="24"/>
          <w:szCs w:val="24"/>
          <w:lang w:val="en-GB"/>
        </w:rPr>
        <w:t>1</w:t>
      </w:r>
      <w:r w:rsidR="00884C56">
        <w:rPr>
          <w:bCs/>
          <w:noProof w:val="0"/>
          <w:sz w:val="24"/>
          <w:szCs w:val="24"/>
          <w:lang w:val="en-GB"/>
        </w:rPr>
        <w:t>6</w:t>
      </w:r>
      <w:r w:rsidR="00034C8A">
        <w:rPr>
          <w:lang w:val="en-GB"/>
        </w:rPr>
        <w:t xml:space="preserve">                                               </w:t>
      </w:r>
      <w:r w:rsidR="00DA1B7B" w:rsidRPr="004F0D45">
        <w:rPr>
          <w:bCs/>
          <w:noProof w:val="0"/>
          <w:sz w:val="24"/>
          <w:szCs w:val="24"/>
          <w:lang w:val="en-GB"/>
        </w:rPr>
        <w:t>R1-</w:t>
      </w:r>
      <w:r w:rsidR="00034C8A">
        <w:rPr>
          <w:rFonts w:cs="Arial"/>
          <w:sz w:val="24"/>
          <w:szCs w:val="24"/>
        </w:rPr>
        <w:t>2401294</w:t>
      </w:r>
    </w:p>
    <w:bookmarkEnd w:id="1"/>
    <w:p w14:paraId="5588DB8C" w14:textId="77777777" w:rsidR="00884C56" w:rsidRDefault="00884C56" w:rsidP="00884C56">
      <w:pPr>
        <w:pStyle w:val="Header"/>
        <w:tabs>
          <w:tab w:val="center" w:pos="4536"/>
          <w:tab w:val="right" w:pos="9356"/>
          <w:tab w:val="right" w:pos="9781"/>
        </w:tabs>
        <w:ind w:right="-58"/>
        <w:rPr>
          <w:rFonts w:cs="Arial"/>
          <w:bCs/>
          <w:sz w:val="24"/>
          <w:szCs w:val="28"/>
          <w:lang w:eastAsia="zh-TW"/>
        </w:rPr>
      </w:pPr>
      <w:r>
        <w:rPr>
          <w:rFonts w:cs="Arial"/>
          <w:bCs/>
          <w:sz w:val="24"/>
          <w:szCs w:val="28"/>
          <w:lang w:eastAsia="zh-TW"/>
        </w:rPr>
        <w:t>Athens</w:t>
      </w:r>
      <w:r w:rsidRPr="00D062F7">
        <w:rPr>
          <w:rFonts w:cs="Arial"/>
          <w:bCs/>
          <w:sz w:val="24"/>
          <w:szCs w:val="28"/>
          <w:lang w:eastAsia="zh-TW"/>
        </w:rPr>
        <w:t>,</w:t>
      </w:r>
      <w:r>
        <w:rPr>
          <w:rFonts w:cs="Arial"/>
          <w:bCs/>
          <w:sz w:val="24"/>
          <w:szCs w:val="28"/>
          <w:lang w:eastAsia="zh-TW"/>
        </w:rPr>
        <w:t xml:space="preserve"> Greece</w:t>
      </w:r>
      <w:r w:rsidRPr="00177F2F">
        <w:rPr>
          <w:rFonts w:cs="Arial"/>
          <w:bCs/>
          <w:sz w:val="24"/>
          <w:szCs w:val="28"/>
          <w:lang w:eastAsia="zh-TW"/>
        </w:rPr>
        <w:t xml:space="preserve">, </w:t>
      </w:r>
      <w:r>
        <w:rPr>
          <w:rFonts w:cs="Arial"/>
          <w:bCs/>
          <w:sz w:val="24"/>
          <w:szCs w:val="28"/>
          <w:lang w:eastAsia="zh-TW"/>
        </w:rPr>
        <w:t>February</w:t>
      </w:r>
      <w:r w:rsidRPr="00177F2F">
        <w:rPr>
          <w:rFonts w:cs="Arial"/>
          <w:bCs/>
          <w:sz w:val="24"/>
          <w:szCs w:val="28"/>
          <w:lang w:eastAsia="zh-TW"/>
        </w:rPr>
        <w:t xml:space="preserve"> </w:t>
      </w:r>
      <w:r>
        <w:rPr>
          <w:rFonts w:cs="Arial"/>
          <w:bCs/>
          <w:sz w:val="24"/>
          <w:szCs w:val="28"/>
          <w:lang w:eastAsia="zh-TW"/>
        </w:rPr>
        <w:t>26</w:t>
      </w:r>
      <w:r>
        <w:rPr>
          <w:rFonts w:cs="Arial"/>
          <w:bCs/>
          <w:sz w:val="24"/>
          <w:szCs w:val="28"/>
          <w:vertAlign w:val="superscript"/>
          <w:lang w:eastAsia="zh-TW"/>
        </w:rPr>
        <w:t>th</w:t>
      </w:r>
      <w:r w:rsidRPr="00177F2F">
        <w:rPr>
          <w:rFonts w:cs="Arial"/>
          <w:bCs/>
          <w:sz w:val="24"/>
          <w:szCs w:val="28"/>
          <w:lang w:eastAsia="zh-TW"/>
        </w:rPr>
        <w:t xml:space="preserve"> –</w:t>
      </w:r>
      <w:r>
        <w:rPr>
          <w:rFonts w:cs="Arial"/>
          <w:bCs/>
          <w:sz w:val="24"/>
          <w:szCs w:val="28"/>
          <w:lang w:eastAsia="zh-TW"/>
        </w:rPr>
        <w:t xml:space="preserve"> March 1</w:t>
      </w:r>
      <w:r>
        <w:rPr>
          <w:rFonts w:cs="Arial"/>
          <w:bCs/>
          <w:sz w:val="24"/>
          <w:szCs w:val="28"/>
          <w:vertAlign w:val="superscript"/>
          <w:lang w:eastAsia="zh-TW"/>
        </w:rPr>
        <w:t>st</w:t>
      </w:r>
      <w:r w:rsidRPr="00177F2F">
        <w:rPr>
          <w:rFonts w:cs="Arial"/>
          <w:bCs/>
          <w:sz w:val="24"/>
          <w:szCs w:val="28"/>
          <w:lang w:eastAsia="zh-TW"/>
        </w:rPr>
        <w:t>, 202</w:t>
      </w:r>
      <w:r>
        <w:rPr>
          <w:rFonts w:cs="Arial"/>
          <w:bCs/>
          <w:sz w:val="24"/>
          <w:szCs w:val="28"/>
          <w:lang w:eastAsia="zh-TW"/>
        </w:rPr>
        <w:t>4</w:t>
      </w:r>
    </w:p>
    <w:p w14:paraId="2CFE1919" w14:textId="77777777" w:rsidR="00850D96" w:rsidRPr="00884C56" w:rsidRDefault="00850D96" w:rsidP="005D664D">
      <w:pPr>
        <w:pStyle w:val="Header"/>
        <w:jc w:val="both"/>
        <w:rPr>
          <w:bCs/>
          <w:noProof w:val="0"/>
          <w:sz w:val="24"/>
          <w:lang w:eastAsia="ja-JP"/>
        </w:rPr>
      </w:pPr>
    </w:p>
    <w:p w14:paraId="30E02941" w14:textId="28C28F02" w:rsidR="0034111C" w:rsidRPr="004F0D45" w:rsidRDefault="0034111C" w:rsidP="007A345E">
      <w:pPr>
        <w:pStyle w:val="CRCoverPage"/>
        <w:spacing w:after="0"/>
        <w:contextualSpacing/>
        <w:jc w:val="both"/>
        <w:rPr>
          <w:rFonts w:cs="Arial"/>
          <w:b/>
          <w:bCs/>
          <w:sz w:val="24"/>
          <w:szCs w:val="24"/>
          <w:lang w:eastAsia="ja-JP"/>
        </w:rPr>
      </w:pPr>
      <w:r w:rsidRPr="004F0D45">
        <w:rPr>
          <w:rFonts w:cs="Arial"/>
          <w:b/>
          <w:bCs/>
          <w:sz w:val="24"/>
          <w:szCs w:val="24"/>
        </w:rPr>
        <w:t>Agenda item:</w:t>
      </w:r>
      <w:r w:rsidRPr="004F0D45">
        <w:rPr>
          <w:rFonts w:cs="Arial"/>
          <w:b/>
          <w:bCs/>
          <w:sz w:val="24"/>
        </w:rPr>
        <w:tab/>
      </w:r>
      <w:r w:rsidRPr="004F0D45">
        <w:rPr>
          <w:rFonts w:cs="Arial"/>
          <w:b/>
          <w:bCs/>
          <w:sz w:val="24"/>
        </w:rPr>
        <w:tab/>
      </w:r>
      <w:r w:rsidR="00675EB7" w:rsidRPr="004F0D45">
        <w:rPr>
          <w:rFonts w:cs="Arial"/>
          <w:b/>
          <w:bCs/>
          <w:sz w:val="24"/>
          <w:szCs w:val="24"/>
        </w:rPr>
        <w:t>9</w:t>
      </w:r>
      <w:r w:rsidR="00CC7843" w:rsidRPr="004F0D45">
        <w:rPr>
          <w:rFonts w:cs="Arial"/>
          <w:b/>
          <w:bCs/>
          <w:sz w:val="24"/>
          <w:szCs w:val="24"/>
        </w:rPr>
        <w:t>.</w:t>
      </w:r>
      <w:r w:rsidR="00675EB7" w:rsidRPr="004F0D45">
        <w:rPr>
          <w:rFonts w:cs="Arial"/>
          <w:b/>
          <w:bCs/>
          <w:sz w:val="24"/>
          <w:szCs w:val="24"/>
        </w:rPr>
        <w:t>3</w:t>
      </w:r>
      <w:r w:rsidR="00CC7843" w:rsidRPr="004F0D45">
        <w:rPr>
          <w:rFonts w:cs="Arial"/>
          <w:b/>
          <w:bCs/>
          <w:sz w:val="24"/>
          <w:szCs w:val="24"/>
        </w:rPr>
        <w:t>.</w:t>
      </w:r>
      <w:r w:rsidR="00F622F2">
        <w:rPr>
          <w:rFonts w:cs="Arial"/>
          <w:b/>
          <w:bCs/>
          <w:sz w:val="24"/>
          <w:szCs w:val="24"/>
        </w:rPr>
        <w:t>1</w:t>
      </w:r>
    </w:p>
    <w:p w14:paraId="30E02942" w14:textId="4B6830AB" w:rsidR="00E128F2" w:rsidRPr="004F0D45" w:rsidRDefault="0034111C" w:rsidP="007A345E">
      <w:pPr>
        <w:tabs>
          <w:tab w:val="left" w:pos="1985"/>
        </w:tabs>
        <w:spacing w:after="0"/>
        <w:ind w:left="1985" w:hanging="1985"/>
        <w:contextualSpacing/>
        <w:jc w:val="both"/>
        <w:rPr>
          <w:rFonts w:ascii="Arial" w:hAnsi="Arial" w:cs="Arial"/>
          <w:b/>
          <w:bCs/>
          <w:sz w:val="24"/>
          <w:szCs w:val="24"/>
        </w:rPr>
      </w:pPr>
      <w:r w:rsidRPr="004F0D45">
        <w:rPr>
          <w:rFonts w:ascii="Arial" w:hAnsi="Arial" w:cs="Arial"/>
          <w:b/>
          <w:bCs/>
          <w:sz w:val="24"/>
          <w:szCs w:val="24"/>
        </w:rPr>
        <w:t>Source:</w:t>
      </w:r>
      <w:r w:rsidRPr="004F0D45">
        <w:rPr>
          <w:rFonts w:ascii="Arial" w:hAnsi="Arial" w:cs="Arial"/>
          <w:b/>
          <w:bCs/>
          <w:sz w:val="24"/>
        </w:rPr>
        <w:tab/>
      </w:r>
      <w:r w:rsidR="00F07F6F" w:rsidRPr="004F0D45">
        <w:rPr>
          <w:rFonts w:ascii="Arial" w:hAnsi="Arial" w:cs="Arial"/>
          <w:b/>
          <w:bCs/>
          <w:sz w:val="24"/>
          <w:szCs w:val="24"/>
        </w:rPr>
        <w:t>MediaTek Inc.</w:t>
      </w:r>
    </w:p>
    <w:p w14:paraId="30E02943" w14:textId="774D77FC" w:rsidR="0034111C" w:rsidRPr="004F0D45" w:rsidRDefault="0034111C" w:rsidP="00884C56">
      <w:pPr>
        <w:spacing w:after="0"/>
        <w:ind w:left="1985" w:hanging="1985"/>
        <w:contextualSpacing/>
        <w:jc w:val="both"/>
        <w:rPr>
          <w:rFonts w:ascii="Arial" w:hAnsi="Arial" w:cs="Arial"/>
          <w:b/>
          <w:bCs/>
          <w:sz w:val="24"/>
          <w:szCs w:val="24"/>
        </w:rPr>
      </w:pPr>
      <w:r w:rsidRPr="004F0D45">
        <w:rPr>
          <w:rFonts w:ascii="Arial" w:hAnsi="Arial" w:cs="Arial"/>
          <w:b/>
          <w:bCs/>
          <w:sz w:val="24"/>
          <w:szCs w:val="24"/>
        </w:rPr>
        <w:t>Title:</w:t>
      </w:r>
      <w:r w:rsidRPr="004F0D45">
        <w:rPr>
          <w:rFonts w:ascii="Arial" w:hAnsi="Arial" w:cs="Arial"/>
          <w:b/>
          <w:bCs/>
          <w:sz w:val="24"/>
        </w:rPr>
        <w:tab/>
      </w:r>
      <w:r w:rsidR="00884C56" w:rsidRPr="004F0D45">
        <w:rPr>
          <w:rFonts w:ascii="Arial" w:hAnsi="Arial" w:cs="Arial"/>
          <w:b/>
          <w:bCs/>
          <w:sz w:val="24"/>
        </w:rPr>
        <w:t>Discussion</w:t>
      </w:r>
      <w:r w:rsidR="00F622F2">
        <w:rPr>
          <w:rFonts w:ascii="Arial" w:hAnsi="Arial" w:cs="Arial"/>
          <w:b/>
          <w:bCs/>
          <w:sz w:val="24"/>
        </w:rPr>
        <w:t xml:space="preserve"> </w:t>
      </w:r>
      <w:r w:rsidR="00F622F2" w:rsidRPr="00F622F2">
        <w:rPr>
          <w:rFonts w:ascii="Arial" w:hAnsi="Arial" w:cs="Arial"/>
          <w:b/>
          <w:bCs/>
          <w:sz w:val="24"/>
          <w:szCs w:val="24"/>
          <w:lang w:val="en-US"/>
        </w:rPr>
        <w:t>on SBFD TX/RX/measurement procedures</w:t>
      </w:r>
    </w:p>
    <w:p w14:paraId="30E02944" w14:textId="27D4B30B" w:rsidR="0034111C" w:rsidRPr="004F0D45" w:rsidRDefault="0034111C" w:rsidP="007A345E">
      <w:pPr>
        <w:spacing w:after="0"/>
        <w:contextualSpacing/>
        <w:jc w:val="both"/>
        <w:rPr>
          <w:rFonts w:ascii="Arial" w:hAnsi="Arial" w:cs="Arial"/>
          <w:b/>
          <w:bCs/>
          <w:sz w:val="24"/>
          <w:szCs w:val="24"/>
        </w:rPr>
      </w:pPr>
      <w:r w:rsidRPr="004F0D45">
        <w:rPr>
          <w:rFonts w:ascii="Arial" w:hAnsi="Arial" w:cs="Arial"/>
          <w:b/>
          <w:bCs/>
          <w:sz w:val="24"/>
          <w:szCs w:val="24"/>
        </w:rPr>
        <w:t xml:space="preserve">Document </w:t>
      </w:r>
      <w:r w:rsidR="3E61DC49" w:rsidRPr="004F0D45">
        <w:rPr>
          <w:rFonts w:ascii="Arial" w:hAnsi="Arial" w:cs="Arial"/>
          <w:b/>
          <w:bCs/>
          <w:sz w:val="24"/>
          <w:szCs w:val="24"/>
        </w:rPr>
        <w:t>for:</w:t>
      </w:r>
      <w:r w:rsidRPr="004F0D45">
        <w:tab/>
      </w:r>
      <w:r w:rsidR="00220615" w:rsidRPr="004F0D45">
        <w:tab/>
      </w:r>
      <w:r w:rsidRPr="004F0D45">
        <w:rPr>
          <w:rFonts w:ascii="Arial" w:hAnsi="Arial" w:cs="Arial"/>
          <w:b/>
          <w:bCs/>
          <w:sz w:val="24"/>
          <w:szCs w:val="24"/>
        </w:rPr>
        <w:t>Discussion and Decision</w:t>
      </w:r>
    </w:p>
    <w:p w14:paraId="7CF7938E" w14:textId="633C7172" w:rsidR="00ED1327" w:rsidRPr="004F0D45" w:rsidRDefault="00EE7FA7" w:rsidP="005D664D">
      <w:pPr>
        <w:pStyle w:val="Heading1"/>
        <w:jc w:val="both"/>
      </w:pPr>
      <w:r w:rsidRPr="004F0D45">
        <w:t>Introduction</w:t>
      </w:r>
    </w:p>
    <w:p w14:paraId="2D0F4ED8" w14:textId="77777777" w:rsidR="00884C56" w:rsidRDefault="00884C56" w:rsidP="00884C56">
      <w:pPr>
        <w:pStyle w:val="Header"/>
        <w:tabs>
          <w:tab w:val="center" w:pos="4536"/>
          <w:tab w:val="right" w:pos="8280"/>
          <w:tab w:val="left" w:pos="9498"/>
          <w:tab w:val="right" w:pos="9781"/>
        </w:tabs>
        <w:spacing w:after="240"/>
        <w:ind w:right="-57"/>
        <w:jc w:val="both"/>
        <w:rPr>
          <w:rFonts w:ascii="Times New Roman" w:hAnsi="Times New Roman"/>
          <w:b w:val="0"/>
          <w:bCs/>
          <w:sz w:val="20"/>
          <w:lang w:eastAsia="zh-TW"/>
        </w:rPr>
      </w:pPr>
      <w:r>
        <w:rPr>
          <w:rFonts w:ascii="Times New Roman" w:hAnsi="Times New Roman"/>
          <w:b w:val="0"/>
          <w:bCs/>
          <w:sz w:val="20"/>
          <w:lang w:eastAsia="zh-TW"/>
        </w:rPr>
        <w:t xml:space="preserve">The following is agreed as part of the scope of the Rel-19 WI on Evolution of NR Duplex Operation [1]. </w:t>
      </w:r>
    </w:p>
    <w:tbl>
      <w:tblPr>
        <w:tblStyle w:val="TableGrid"/>
        <w:tblW w:w="0" w:type="auto"/>
        <w:tblLook w:val="04A0" w:firstRow="1" w:lastRow="0" w:firstColumn="1" w:lastColumn="0" w:noHBand="0" w:noVBand="1"/>
      </w:tblPr>
      <w:tblGrid>
        <w:gridCol w:w="9629"/>
      </w:tblGrid>
      <w:tr w:rsidR="00B64AA1" w14:paraId="3CBBBAA3" w14:textId="77777777" w:rsidTr="00B64AA1">
        <w:tc>
          <w:tcPr>
            <w:tcW w:w="9629" w:type="dxa"/>
          </w:tcPr>
          <w:p w14:paraId="605A8538" w14:textId="77777777" w:rsidR="00B64AA1" w:rsidRPr="003E0D9F" w:rsidRDefault="00B64AA1" w:rsidP="0016580F">
            <w:pPr>
              <w:numPr>
                <w:ilvl w:val="0"/>
                <w:numId w:val="42"/>
              </w:numPr>
              <w:spacing w:after="0"/>
              <w:ind w:right="-99" w:hanging="357"/>
              <w:jc w:val="both"/>
              <w:rPr>
                <w:rFonts w:eastAsia="Malgun Gothic"/>
                <w:lang w:val="en-US" w:eastAsia="ko-KR"/>
              </w:rPr>
            </w:pPr>
            <w:bookmarkStart w:id="2" w:name="_Hlk510705081"/>
            <w:r w:rsidRPr="003E0D9F">
              <w:rPr>
                <w:rFonts w:eastAsia="Malgun Gothic"/>
                <w:lang w:val="en-US" w:eastAsia="ko-KR"/>
              </w:rPr>
              <w:t>Specify semi-static indication of time location of SBFD subbands to UEs in RRC_CONNECTED mode [RAN1, RAN2]</w:t>
            </w:r>
          </w:p>
          <w:p w14:paraId="0BB597BA" w14:textId="77777777" w:rsidR="00B64AA1" w:rsidRPr="003E0D9F" w:rsidRDefault="00B64AA1" w:rsidP="0016580F">
            <w:pPr>
              <w:numPr>
                <w:ilvl w:val="1"/>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Indication of time location of SBFD subbands in SIB is not precluded</w:t>
            </w:r>
          </w:p>
          <w:p w14:paraId="508A8101" w14:textId="77777777" w:rsidR="00B64AA1" w:rsidRPr="003E0D9F" w:rsidRDefault="00B64AA1" w:rsidP="0016580F">
            <w:pPr>
              <w:numPr>
                <w:ilvl w:val="0"/>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Specify semi-static indication of frequency domain location of SBFD subbands to UEs in RRC_CONNECTED mode [RAN1, RAN2]</w:t>
            </w:r>
          </w:p>
          <w:p w14:paraId="6C83D34F" w14:textId="77777777" w:rsidR="00B64AA1" w:rsidRPr="003E0D9F" w:rsidRDefault="00B64AA1" w:rsidP="0016580F">
            <w:pPr>
              <w:numPr>
                <w:ilvl w:val="1"/>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Indication of frequency domain location of SBFD subbands in SIB is not precluded</w:t>
            </w:r>
          </w:p>
          <w:p w14:paraId="184E76A3" w14:textId="77777777" w:rsidR="00B64AA1" w:rsidRPr="003E0D9F" w:rsidRDefault="00B64AA1" w:rsidP="0016580F">
            <w:pPr>
              <w:numPr>
                <w:ilvl w:val="0"/>
                <w:numId w:val="42"/>
              </w:numPr>
              <w:overflowPunct/>
              <w:autoSpaceDE/>
              <w:autoSpaceDN/>
              <w:adjustRightInd/>
              <w:spacing w:after="0"/>
              <w:ind w:right="-99" w:hanging="357"/>
              <w:jc w:val="both"/>
              <w:rPr>
                <w:rFonts w:eastAsia="Malgun Gothic"/>
                <w:lang w:val="en-US" w:eastAsia="ko-KR"/>
              </w:rPr>
            </w:pPr>
            <w:bookmarkStart w:id="3" w:name="_Hlk153407590"/>
            <w:r w:rsidRPr="003E0D9F">
              <w:rPr>
                <w:rFonts w:eastAsia="Malgun Gothic"/>
                <w:lang w:val="en-US" w:eastAsia="ko-KR"/>
              </w:rPr>
              <w:t xml:space="preserve">Specify UE transmission, reception and measurement behavior and procedures in SBFD symbols and/or non-SBFD symbols for SBFD </w:t>
            </w:r>
            <w:r>
              <w:rPr>
                <w:rFonts w:eastAsia="Malgun Gothic"/>
                <w:lang w:val="en-US" w:eastAsia="ko-KR"/>
              </w:rPr>
              <w:t>aware</w:t>
            </w:r>
            <w:r w:rsidRPr="003E0D9F">
              <w:rPr>
                <w:rFonts w:eastAsia="Malgun Gothic"/>
                <w:lang w:val="en-US" w:eastAsia="ko-KR"/>
              </w:rPr>
              <w:t xml:space="preserve"> UE</w:t>
            </w:r>
            <w:r>
              <w:rPr>
                <w:rFonts w:eastAsia="Malgun Gothic"/>
                <w:lang w:val="en-US" w:eastAsia="ko-KR"/>
              </w:rPr>
              <w:t xml:space="preserve"> </w:t>
            </w:r>
            <w:r w:rsidRPr="003E0D9F">
              <w:rPr>
                <w:rFonts w:eastAsia="Malgun Gothic"/>
                <w:lang w:val="en-US" w:eastAsia="ko-KR"/>
              </w:rPr>
              <w:t>[RAN1, RAN2]</w:t>
            </w:r>
          </w:p>
          <w:bookmarkEnd w:id="3"/>
          <w:p w14:paraId="152A054A" w14:textId="77777777" w:rsidR="00B64AA1" w:rsidRPr="003E0D9F" w:rsidRDefault="00B64AA1" w:rsidP="0016580F">
            <w:pPr>
              <w:numPr>
                <w:ilvl w:val="1"/>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 xml:space="preserve">Transmission and reception </w:t>
            </w:r>
            <w:proofErr w:type="spellStart"/>
            <w:r w:rsidRPr="003E0D9F">
              <w:rPr>
                <w:rFonts w:eastAsia="Malgun Gothic"/>
                <w:lang w:val="en-US" w:eastAsia="ko-KR"/>
              </w:rPr>
              <w:t>behaviours</w:t>
            </w:r>
            <w:proofErr w:type="spellEnd"/>
            <w:r w:rsidRPr="003E0D9F">
              <w:rPr>
                <w:rFonts w:eastAsia="Malgun Gothic"/>
                <w:lang w:val="en-US" w:eastAsia="ko-KR"/>
              </w:rPr>
              <w:t xml:space="preserve"> on SBFD subbands configured in DL and/or flexible symbol indicated by </w:t>
            </w:r>
            <w:r w:rsidRPr="003E0D9F">
              <w:rPr>
                <w:rFonts w:eastAsia="Malgun Gothic"/>
                <w:i/>
                <w:iCs/>
                <w:lang w:val="en-US" w:eastAsia="ko-KR"/>
              </w:rPr>
              <w:t>TDD-UL-DL-ConfigCommon</w:t>
            </w:r>
          </w:p>
          <w:p w14:paraId="08199298" w14:textId="77777777" w:rsidR="00B64AA1" w:rsidRPr="00535090" w:rsidRDefault="00B64AA1" w:rsidP="0016580F">
            <w:pPr>
              <w:numPr>
                <w:ilvl w:val="1"/>
                <w:numId w:val="42"/>
              </w:numPr>
              <w:overflowPunct/>
              <w:autoSpaceDE/>
              <w:adjustRightInd/>
              <w:spacing w:after="0"/>
              <w:ind w:hanging="357"/>
              <w:jc w:val="both"/>
              <w:rPr>
                <w:rFonts w:ascii="Times" w:hAnsi="Times" w:cs="Times"/>
                <w:iCs/>
                <w:lang w:eastAsia="ko-KR"/>
              </w:rPr>
            </w:pPr>
            <w:r w:rsidRPr="003E0D9F">
              <w:rPr>
                <w:rFonts w:eastAsia="Malgun Gothic"/>
                <w:lang w:val="en-US" w:eastAsia="ko-KR"/>
              </w:rPr>
              <w:t>Enhancement on resource allocation in frequency domain in SBFD symbols</w:t>
            </w:r>
          </w:p>
          <w:p w14:paraId="58199939" w14:textId="77777777" w:rsidR="00B64AA1" w:rsidRPr="00535090" w:rsidRDefault="00B64AA1" w:rsidP="0016580F">
            <w:pPr>
              <w:numPr>
                <w:ilvl w:val="1"/>
                <w:numId w:val="42"/>
              </w:numPr>
              <w:overflowPunct/>
              <w:autoSpaceDE/>
              <w:adjustRightInd/>
              <w:spacing w:after="0"/>
              <w:ind w:hanging="357"/>
              <w:jc w:val="both"/>
              <w:rPr>
                <w:rFonts w:ascii="Times" w:hAnsi="Times" w:cs="Times"/>
                <w:iCs/>
                <w:lang w:eastAsia="ko-KR"/>
              </w:rPr>
            </w:pPr>
            <w:r w:rsidRPr="003E0D9F">
              <w:rPr>
                <w:rFonts w:eastAsia="Malgun Gothic"/>
                <w:lang w:val="en-US" w:eastAsia="ko-KR"/>
              </w:rPr>
              <w:t>Enhancements on physical channels/signals and procedure across SBFD symbols and non-SBFD symbols in different slots, where each transmission/reception within a slot has either all SBFD or all non-SBFD symbols</w:t>
            </w:r>
          </w:p>
          <w:p w14:paraId="69180EE6" w14:textId="77777777" w:rsidR="00B64AA1" w:rsidRPr="003E0D9F" w:rsidRDefault="00B64AA1" w:rsidP="0016580F">
            <w:pPr>
              <w:numPr>
                <w:ilvl w:val="1"/>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Configurations for SRS, PUCCH and PUSCH on SBFD symbols and non-SBFD symbols, e.g., resources, frequency hopping parameters, UL power control parameters and/or beam/spatial relation</w:t>
            </w:r>
          </w:p>
          <w:p w14:paraId="5B007CAC" w14:textId="77777777" w:rsidR="00B64AA1" w:rsidRPr="00535090" w:rsidRDefault="00B64AA1" w:rsidP="0016580F">
            <w:pPr>
              <w:numPr>
                <w:ilvl w:val="1"/>
                <w:numId w:val="42"/>
              </w:numPr>
              <w:overflowPunct/>
              <w:autoSpaceDE/>
              <w:autoSpaceDN/>
              <w:adjustRightInd/>
              <w:spacing w:after="0"/>
              <w:ind w:right="-99" w:hanging="357"/>
              <w:jc w:val="both"/>
              <w:rPr>
                <w:rFonts w:eastAsia="Malgun Gothic"/>
                <w:lang w:val="en-US" w:eastAsia="ko-KR"/>
              </w:rPr>
            </w:pPr>
            <w:r w:rsidRPr="003E0D9F">
              <w:rPr>
                <w:rFonts w:eastAsia="Malgun Gothic"/>
                <w:lang w:val="en-US" w:eastAsia="ko-KR"/>
              </w:rPr>
              <w:t>Collision handling between DL reception in DL subband(s) and UL transmission in UL subband in a SBFD symbol</w:t>
            </w:r>
          </w:p>
        </w:tc>
      </w:tr>
      <w:bookmarkEnd w:id="2"/>
    </w:tbl>
    <w:p w14:paraId="2F9E151E" w14:textId="77777777" w:rsidR="00B64AA1" w:rsidRDefault="00B64AA1" w:rsidP="005878EF">
      <w:pPr>
        <w:pStyle w:val="Header"/>
        <w:tabs>
          <w:tab w:val="center" w:pos="4536"/>
          <w:tab w:val="right" w:pos="8280"/>
          <w:tab w:val="left" w:pos="9498"/>
          <w:tab w:val="right" w:pos="9781"/>
        </w:tabs>
        <w:ind w:right="-57"/>
        <w:jc w:val="both"/>
        <w:rPr>
          <w:rFonts w:ascii="Times New Roman" w:hAnsi="Times New Roman"/>
          <w:b w:val="0"/>
          <w:bCs/>
          <w:sz w:val="20"/>
          <w:lang w:eastAsia="zh-TW"/>
        </w:rPr>
      </w:pPr>
    </w:p>
    <w:p w14:paraId="5FBC0092" w14:textId="7056B567" w:rsidR="00B64AA1" w:rsidRDefault="00B64AA1" w:rsidP="005878EF">
      <w:pPr>
        <w:pStyle w:val="Header"/>
        <w:tabs>
          <w:tab w:val="center" w:pos="4536"/>
          <w:tab w:val="right" w:pos="8280"/>
          <w:tab w:val="left" w:pos="9498"/>
          <w:tab w:val="right" w:pos="9781"/>
        </w:tabs>
        <w:ind w:right="-57"/>
        <w:jc w:val="both"/>
        <w:rPr>
          <w:rFonts w:ascii="Times New Roman" w:hAnsi="Times New Roman"/>
          <w:b w:val="0"/>
          <w:bCs/>
          <w:sz w:val="20"/>
          <w:lang w:eastAsia="zh-TW"/>
        </w:rPr>
      </w:pPr>
      <w:r>
        <w:rPr>
          <w:rFonts w:ascii="Times New Roman" w:hAnsi="Times New Roman"/>
          <w:b w:val="0"/>
          <w:bCs/>
          <w:sz w:val="20"/>
          <w:lang w:eastAsia="zh-TW"/>
        </w:rPr>
        <w:t xml:space="preserve">In the contribution, we discuss semi-static indication of time/freqeuncy location of SBFD subbands. In addition, we discuss transmission/reception behaviour of SBFD-aware UE in SBFD symbols, including enhancements to frequency domain resource allocation for various PHY channels/signals. </w:t>
      </w:r>
    </w:p>
    <w:p w14:paraId="10445A01" w14:textId="13CC1BA3" w:rsidR="00885580" w:rsidRPr="004F0D45" w:rsidRDefault="002B609D" w:rsidP="005D664D">
      <w:pPr>
        <w:pStyle w:val="Heading1"/>
        <w:ind w:left="431" w:hanging="431"/>
        <w:jc w:val="both"/>
      </w:pPr>
      <w:r w:rsidRPr="004F0D45">
        <w:t>Discussion</w:t>
      </w:r>
    </w:p>
    <w:p w14:paraId="364BE618" w14:textId="1153AA9B" w:rsidR="0026791F" w:rsidRDefault="0026791F" w:rsidP="0026791F">
      <w:pPr>
        <w:pStyle w:val="Heading2"/>
        <w:jc w:val="both"/>
      </w:pPr>
      <w:r>
        <w:t xml:space="preserve">Semi-static Indication of SBFD Resources </w:t>
      </w:r>
    </w:p>
    <w:p w14:paraId="03812DB6" w14:textId="492DC262" w:rsidR="0026791F" w:rsidRDefault="0026791F" w:rsidP="0026791F">
      <w:pPr>
        <w:jc w:val="both"/>
      </w:pPr>
      <w:r>
        <w:rPr>
          <w:rStyle w:val="ui-provider"/>
        </w:rPr>
        <w:t>In this section</w:t>
      </w:r>
      <w:r w:rsidR="008101EA">
        <w:rPr>
          <w:rStyle w:val="ui-provider"/>
        </w:rPr>
        <w:t xml:space="preserve">, we provide our views on </w:t>
      </w:r>
      <w:r>
        <w:rPr>
          <w:rStyle w:val="ui-provider"/>
        </w:rPr>
        <w:t>semi-static indication of time</w:t>
      </w:r>
      <w:r w:rsidR="008101EA">
        <w:rPr>
          <w:rStyle w:val="ui-provider"/>
        </w:rPr>
        <w:t xml:space="preserve"> and frequency</w:t>
      </w:r>
      <w:r>
        <w:rPr>
          <w:rStyle w:val="ui-provider"/>
        </w:rPr>
        <w:t xml:space="preserve"> location o</w:t>
      </w:r>
      <w:r w:rsidR="008101EA">
        <w:rPr>
          <w:rStyle w:val="ui-provider"/>
        </w:rPr>
        <w:t>f</w:t>
      </w:r>
      <w:r>
        <w:rPr>
          <w:rStyle w:val="ui-provider"/>
        </w:rPr>
        <w:t xml:space="preserve"> SBFD subbands in RRC_CONNECTED mode.</w:t>
      </w:r>
    </w:p>
    <w:p w14:paraId="0DC3481B" w14:textId="77777777" w:rsidR="0026791F" w:rsidRDefault="0026791F" w:rsidP="0026791F">
      <w:pPr>
        <w:pStyle w:val="Heading3"/>
        <w:jc w:val="both"/>
      </w:pPr>
      <w:r>
        <w:t>Indication of Time Location of SBFD Subbands</w:t>
      </w:r>
    </w:p>
    <w:p w14:paraId="363F6676" w14:textId="56B02C9D" w:rsidR="007907FE" w:rsidRDefault="007907FE" w:rsidP="007907FE">
      <w:pPr>
        <w:jc w:val="both"/>
      </w:pPr>
      <w:r>
        <w:t xml:space="preserve">In TDD operation, the network configures the UE with the higher layer parameter, </w:t>
      </w:r>
      <w:r w:rsidR="002B654B">
        <w:rPr>
          <w:rFonts w:eastAsia="Malgun Gothic"/>
          <w:i/>
          <w:iCs/>
          <w:lang w:eastAsia="ko-KR"/>
        </w:rPr>
        <w:t>tdd</w:t>
      </w:r>
      <w:r w:rsidRPr="003E0D9F">
        <w:rPr>
          <w:rFonts w:eastAsia="Malgun Gothic"/>
          <w:i/>
          <w:iCs/>
          <w:lang w:val="en-US" w:eastAsia="ko-KR"/>
        </w:rPr>
        <w:t>-UL-DL-Config</w:t>
      </w:r>
      <w:r w:rsidR="002B654B">
        <w:rPr>
          <w:rFonts w:eastAsia="Malgun Gothic"/>
          <w:i/>
          <w:iCs/>
          <w:lang w:val="en-US" w:eastAsia="ko-KR"/>
        </w:rPr>
        <w:t>uration</w:t>
      </w:r>
      <w:r w:rsidRPr="003E0D9F">
        <w:rPr>
          <w:rFonts w:eastAsia="Malgun Gothic"/>
          <w:i/>
          <w:iCs/>
          <w:lang w:val="en-US" w:eastAsia="ko-KR"/>
        </w:rPr>
        <w:t>Common</w:t>
      </w:r>
      <w:r>
        <w:rPr>
          <w:rFonts w:eastAsia="Malgun Gothic"/>
          <w:i/>
          <w:iCs/>
          <w:lang w:val="en-US" w:eastAsia="ko-KR"/>
        </w:rPr>
        <w:t xml:space="preserve">, </w:t>
      </w:r>
      <w:r>
        <w:rPr>
          <w:rFonts w:eastAsia="Malgun Gothic"/>
          <w:lang w:val="en-US" w:eastAsia="ko-KR"/>
        </w:rPr>
        <w:t>which</w:t>
      </w:r>
      <w:r>
        <w:t xml:space="preserve"> indicates the time location of downlink, flexible and uplink slots. This parameter is configured in </w:t>
      </w:r>
      <w:r w:rsidRPr="00C26D36">
        <w:rPr>
          <w:i/>
          <w:iCs/>
        </w:rPr>
        <w:t>ServingCellConfigCommonSIB</w:t>
      </w:r>
      <w:r>
        <w:rPr>
          <w:i/>
          <w:iCs/>
        </w:rPr>
        <w:t xml:space="preserve"> </w:t>
      </w:r>
      <w:r>
        <w:t xml:space="preserve">for the UE’s primary serving cell and in </w:t>
      </w:r>
      <w:proofErr w:type="spellStart"/>
      <w:r w:rsidRPr="00C26D36">
        <w:rPr>
          <w:i/>
          <w:iCs/>
        </w:rPr>
        <w:t>ServingCellConfigCommon</w:t>
      </w:r>
      <w:proofErr w:type="spellEnd"/>
      <w:r>
        <w:rPr>
          <w:i/>
          <w:iCs/>
        </w:rPr>
        <w:t xml:space="preserve"> </w:t>
      </w:r>
      <w:r>
        <w:t xml:space="preserve">for the UE’s other serving cells. </w:t>
      </w:r>
    </w:p>
    <w:p w14:paraId="394A9848" w14:textId="5EC7050B" w:rsidR="007907FE" w:rsidRPr="0091205E" w:rsidRDefault="007907FE" w:rsidP="007907FE">
      <w:pPr>
        <w:jc w:val="both"/>
        <w:rPr>
          <w:rFonts w:eastAsia="Malgun Gothic"/>
          <w:lang w:val="en-US" w:eastAsia="ko-KR"/>
        </w:rPr>
      </w:pPr>
      <w:r>
        <w:rPr>
          <w:rFonts w:eastAsia="Malgun Gothic"/>
          <w:lang w:val="en-US" w:eastAsia="ko-KR"/>
        </w:rPr>
        <w:t xml:space="preserve">For SBFD operation, the parameter </w:t>
      </w:r>
      <w:r w:rsidR="002B654B">
        <w:rPr>
          <w:rFonts w:eastAsia="Malgun Gothic"/>
          <w:i/>
          <w:iCs/>
          <w:lang w:val="en-US" w:eastAsia="ko-KR"/>
        </w:rPr>
        <w:t>tdd</w:t>
      </w:r>
      <w:r w:rsidRPr="003E0D9F">
        <w:rPr>
          <w:rFonts w:eastAsia="Malgun Gothic"/>
          <w:i/>
          <w:iCs/>
          <w:lang w:val="en-US" w:eastAsia="ko-KR"/>
        </w:rPr>
        <w:t>-UL-DL-Config</w:t>
      </w:r>
      <w:r w:rsidR="002B654B">
        <w:rPr>
          <w:rFonts w:eastAsia="Malgun Gothic"/>
          <w:i/>
          <w:iCs/>
          <w:lang w:val="en-US" w:eastAsia="ko-KR"/>
        </w:rPr>
        <w:t>uration</w:t>
      </w:r>
      <w:r w:rsidRPr="003E0D9F">
        <w:rPr>
          <w:rFonts w:eastAsia="Malgun Gothic"/>
          <w:i/>
          <w:iCs/>
          <w:lang w:val="en-US" w:eastAsia="ko-KR"/>
        </w:rPr>
        <w:t>Common</w:t>
      </w:r>
      <w:r>
        <w:rPr>
          <w:rFonts w:eastAsia="Malgun Gothic"/>
          <w:i/>
          <w:iCs/>
          <w:lang w:val="en-US" w:eastAsia="ko-KR"/>
        </w:rPr>
        <w:t xml:space="preserve"> </w:t>
      </w:r>
      <w:r>
        <w:rPr>
          <w:rFonts w:eastAsia="Malgun Gothic"/>
          <w:lang w:val="en-US" w:eastAsia="ko-KR"/>
        </w:rPr>
        <w:t xml:space="preserve">can still be used to indicate time location of downlink/flexible/uplink resource. Moreover, an additional higher layer parameter </w:t>
      </w:r>
      <w:r>
        <w:t xml:space="preserve">(e.g., </w:t>
      </w:r>
      <w:r w:rsidRPr="00C26D36">
        <w:rPr>
          <w:rFonts w:eastAsia="Malgun Gothic"/>
          <w:i/>
          <w:iCs/>
          <w:lang w:val="en-US" w:eastAsia="ko-KR"/>
        </w:rPr>
        <w:t>SBFD-ConfigCommon</w:t>
      </w:r>
      <w:r>
        <w:t>)</w:t>
      </w:r>
      <w:r>
        <w:rPr>
          <w:rFonts w:eastAsia="Malgun Gothic"/>
          <w:lang w:val="en-US" w:eastAsia="ko-KR"/>
        </w:rPr>
        <w:t xml:space="preserve"> can be </w:t>
      </w:r>
      <w:r w:rsidR="00633F16">
        <w:rPr>
          <w:rFonts w:eastAsia="Malgun Gothic"/>
          <w:lang w:val="en-US" w:eastAsia="ko-KR"/>
        </w:rPr>
        <w:t>provided</w:t>
      </w:r>
      <w:r>
        <w:rPr>
          <w:rFonts w:eastAsia="Malgun Gothic"/>
          <w:lang w:val="en-US" w:eastAsia="ko-KR"/>
        </w:rPr>
        <w:t xml:space="preserve"> to indicate the time location of SBFD subbands (i.e., the location of SBFD slots/symbols) to a SBFD-aware UE. The new higher layer parameter will provide additional information on which slots – configured by </w:t>
      </w:r>
      <w:r w:rsidRPr="003E0D9F">
        <w:rPr>
          <w:rFonts w:eastAsia="Malgun Gothic"/>
          <w:i/>
          <w:iCs/>
          <w:lang w:val="en-US" w:eastAsia="ko-KR"/>
        </w:rPr>
        <w:t>TDD-UL-DL-ConfigCommon</w:t>
      </w:r>
      <w:r>
        <w:rPr>
          <w:rFonts w:eastAsia="Malgun Gothic"/>
          <w:i/>
          <w:iCs/>
          <w:lang w:val="en-US" w:eastAsia="ko-KR"/>
        </w:rPr>
        <w:t xml:space="preserve"> </w:t>
      </w:r>
      <w:r>
        <w:rPr>
          <w:rFonts w:eastAsia="Malgun Gothic"/>
          <w:lang w:val="en-US" w:eastAsia="ko-KR"/>
        </w:rPr>
        <w:t>– are SBFD slots and non-SBFD slots. Like the TDD case, the new parameter (</w:t>
      </w:r>
      <w:r>
        <w:t xml:space="preserve">e.g., </w:t>
      </w:r>
      <w:r w:rsidRPr="00C26D36">
        <w:rPr>
          <w:rFonts w:eastAsia="Malgun Gothic"/>
          <w:i/>
          <w:iCs/>
          <w:lang w:val="en-US" w:eastAsia="ko-KR"/>
        </w:rPr>
        <w:t>SBFD-ConfigCommon</w:t>
      </w:r>
      <w:r>
        <w:rPr>
          <w:rFonts w:eastAsia="Malgun Gothic"/>
          <w:lang w:val="en-US" w:eastAsia="ko-KR"/>
        </w:rPr>
        <w:t xml:space="preserve">) can be provided within </w:t>
      </w:r>
      <w:r w:rsidRPr="00C26D36">
        <w:rPr>
          <w:i/>
          <w:iCs/>
        </w:rPr>
        <w:t xml:space="preserve">ServingCellConfigCommonSIB </w:t>
      </w:r>
      <w:r w:rsidRPr="00F64CE5">
        <w:t>and/or</w:t>
      </w:r>
      <w:r w:rsidRPr="00C26D36">
        <w:rPr>
          <w:i/>
          <w:iCs/>
        </w:rPr>
        <w:t xml:space="preserve"> </w:t>
      </w:r>
      <w:proofErr w:type="spellStart"/>
      <w:r w:rsidRPr="00C26D36">
        <w:rPr>
          <w:i/>
          <w:iCs/>
        </w:rPr>
        <w:t>ServingCellConfigCommon</w:t>
      </w:r>
      <w:proofErr w:type="spellEnd"/>
      <w:r>
        <w:t xml:space="preserve">. </w:t>
      </w:r>
    </w:p>
    <w:p w14:paraId="7DC0CCB5" w14:textId="79926715" w:rsidR="007907FE" w:rsidRDefault="00A03066" w:rsidP="007907FE">
      <w:pPr>
        <w:jc w:val="both"/>
        <w:rPr>
          <w:rFonts w:eastAsia="Malgun Gothic"/>
          <w:lang w:val="en-US" w:eastAsia="ko-KR"/>
        </w:rPr>
      </w:pPr>
      <w:r>
        <w:t>Moreover, t</w:t>
      </w:r>
      <w:r w:rsidR="007907FE">
        <w:t>he new parameter</w:t>
      </w:r>
      <w:r>
        <w:t xml:space="preserve"> can be</w:t>
      </w:r>
      <w:r w:rsidR="007907FE">
        <w:t xml:space="preserve"> configured as a slot-level bitmap. The length of the bitmap can be</w:t>
      </w:r>
      <w:r w:rsidR="00D92C52">
        <w:t xml:space="preserve"> set</w:t>
      </w:r>
      <w:r w:rsidR="007907FE">
        <w:t xml:space="preserve"> equal to the total number of slots configured as “downlink” and “flexible” by </w:t>
      </w:r>
      <w:r w:rsidR="002B654B">
        <w:rPr>
          <w:rFonts w:eastAsia="Malgun Gothic"/>
          <w:i/>
          <w:iCs/>
          <w:lang w:val="en-US" w:eastAsia="ko-KR"/>
        </w:rPr>
        <w:t>tdd</w:t>
      </w:r>
      <w:r w:rsidR="007907FE" w:rsidRPr="003E0D9F">
        <w:rPr>
          <w:rFonts w:eastAsia="Malgun Gothic"/>
          <w:i/>
          <w:iCs/>
          <w:lang w:val="en-US" w:eastAsia="ko-KR"/>
        </w:rPr>
        <w:t>-UL-DL-Config</w:t>
      </w:r>
      <w:r w:rsidR="002B654B">
        <w:rPr>
          <w:rFonts w:eastAsia="Malgun Gothic"/>
          <w:i/>
          <w:iCs/>
          <w:lang w:val="en-US" w:eastAsia="ko-KR"/>
        </w:rPr>
        <w:t>uration</w:t>
      </w:r>
      <w:r w:rsidR="007907FE" w:rsidRPr="003E0D9F">
        <w:rPr>
          <w:rFonts w:eastAsia="Malgun Gothic"/>
          <w:i/>
          <w:iCs/>
          <w:lang w:val="en-US" w:eastAsia="ko-KR"/>
        </w:rPr>
        <w:t>Common</w:t>
      </w:r>
      <w:r w:rsidR="007907FE">
        <w:rPr>
          <w:rFonts w:eastAsia="Malgun Gothic"/>
          <w:lang w:val="en-US" w:eastAsia="ko-KR"/>
        </w:rPr>
        <w:t xml:space="preserve"> – since “uplink” </w:t>
      </w:r>
      <w:r w:rsidR="007907FE">
        <w:rPr>
          <w:rFonts w:eastAsia="Malgun Gothic"/>
          <w:lang w:val="en-US" w:eastAsia="ko-KR"/>
        </w:rPr>
        <w:lastRenderedPageBreak/>
        <w:t xml:space="preserve">slots are not expected to be partitioned. As shown in </w:t>
      </w:r>
      <w:r w:rsidR="00FA6DD8">
        <w:rPr>
          <w:rFonts w:eastAsia="Malgun Gothic"/>
          <w:lang w:val="en-US" w:eastAsia="ko-KR"/>
        </w:rPr>
        <w:fldChar w:fldCharType="begin"/>
      </w:r>
      <w:r w:rsidR="00FA6DD8">
        <w:rPr>
          <w:rFonts w:eastAsia="Malgun Gothic"/>
          <w:lang w:val="en-US" w:eastAsia="ko-KR"/>
        </w:rPr>
        <w:instrText xml:space="preserve"> REF _Ref159008027 \h </w:instrText>
      </w:r>
      <w:r w:rsidR="00FA6DD8">
        <w:rPr>
          <w:rFonts w:eastAsia="Malgun Gothic"/>
          <w:lang w:val="en-US" w:eastAsia="ko-KR"/>
        </w:rPr>
      </w:r>
      <w:r w:rsidR="00FA6DD8">
        <w:rPr>
          <w:rFonts w:eastAsia="Malgun Gothic"/>
          <w:lang w:val="en-US" w:eastAsia="ko-KR"/>
        </w:rPr>
        <w:fldChar w:fldCharType="separate"/>
      </w:r>
      <w:r w:rsidR="00CA6417" w:rsidRPr="004F0D45">
        <w:rPr>
          <w:bdr w:val="none" w:sz="0" w:space="0" w:color="auto" w:frame="1"/>
        </w:rPr>
        <w:t xml:space="preserve">Figure </w:t>
      </w:r>
      <w:r w:rsidR="00CA6417">
        <w:rPr>
          <w:noProof/>
        </w:rPr>
        <w:t>1</w:t>
      </w:r>
      <w:r w:rsidR="00FA6DD8">
        <w:rPr>
          <w:rFonts w:eastAsia="Malgun Gothic"/>
          <w:lang w:val="en-US" w:eastAsia="ko-KR"/>
        </w:rPr>
        <w:fldChar w:fldCharType="end"/>
      </w:r>
      <w:r w:rsidR="007907FE">
        <w:rPr>
          <w:rFonts w:eastAsia="Malgun Gothic"/>
          <w:lang w:val="en-US" w:eastAsia="ko-KR"/>
        </w:rPr>
        <w:t xml:space="preserve">, </w:t>
      </w:r>
      <w:r w:rsidR="007907FE" w:rsidRPr="00381DE3">
        <w:rPr>
          <w:rFonts w:eastAsia="Malgun Gothic"/>
          <w:lang w:val="en-US" w:eastAsia="ko-KR"/>
        </w:rPr>
        <w:t xml:space="preserve">one bit value (e.g., 1) </w:t>
      </w:r>
      <w:r w:rsidR="00D92C52">
        <w:rPr>
          <w:rFonts w:eastAsia="Malgun Gothic"/>
          <w:lang w:val="en-US" w:eastAsia="ko-KR"/>
        </w:rPr>
        <w:t xml:space="preserve">is used to </w:t>
      </w:r>
      <w:r w:rsidR="007907FE" w:rsidRPr="00381DE3">
        <w:rPr>
          <w:rFonts w:eastAsia="Malgun Gothic"/>
          <w:lang w:val="en-US" w:eastAsia="ko-KR"/>
        </w:rPr>
        <w:t xml:space="preserve">indicates that a slot is </w:t>
      </w:r>
      <w:r w:rsidR="007907FE">
        <w:rPr>
          <w:rFonts w:eastAsia="Malgun Gothic"/>
          <w:lang w:val="en-US" w:eastAsia="ko-KR"/>
        </w:rPr>
        <w:t>a SBFD slot</w:t>
      </w:r>
      <w:r w:rsidR="007907FE" w:rsidRPr="00381DE3">
        <w:rPr>
          <w:rFonts w:eastAsia="Malgun Gothic"/>
          <w:lang w:val="en-US" w:eastAsia="ko-KR"/>
        </w:rPr>
        <w:t xml:space="preserve"> </w:t>
      </w:r>
      <w:r w:rsidR="007907FE">
        <w:rPr>
          <w:rFonts w:eastAsia="Malgun Gothic"/>
          <w:lang w:val="en-US" w:eastAsia="ko-KR"/>
        </w:rPr>
        <w:t>whereas</w:t>
      </w:r>
      <w:r w:rsidR="007907FE" w:rsidRPr="00381DE3">
        <w:rPr>
          <w:rFonts w:eastAsia="Malgun Gothic"/>
          <w:lang w:val="en-US" w:eastAsia="ko-KR"/>
        </w:rPr>
        <w:t xml:space="preserve"> another bit value (e.g., 0) </w:t>
      </w:r>
      <w:r w:rsidR="00D92C52">
        <w:rPr>
          <w:rFonts w:eastAsia="Malgun Gothic"/>
          <w:lang w:val="en-US" w:eastAsia="ko-KR"/>
        </w:rPr>
        <w:t xml:space="preserve">is used to </w:t>
      </w:r>
      <w:r w:rsidR="007907FE" w:rsidRPr="00381DE3">
        <w:rPr>
          <w:rFonts w:eastAsia="Malgun Gothic"/>
          <w:lang w:val="en-US" w:eastAsia="ko-KR"/>
        </w:rPr>
        <w:t xml:space="preserve">indicate that a slot is </w:t>
      </w:r>
      <w:r w:rsidR="007907FE">
        <w:rPr>
          <w:rFonts w:eastAsia="Malgun Gothic"/>
          <w:lang w:val="en-US" w:eastAsia="ko-KR"/>
        </w:rPr>
        <w:t xml:space="preserve">a non-SBFD slot. </w:t>
      </w:r>
    </w:p>
    <w:p w14:paraId="7009B785" w14:textId="046ABC6A" w:rsidR="007907FE" w:rsidRDefault="001E1944" w:rsidP="0033371E">
      <w:pPr>
        <w:spacing w:before="120" w:after="0"/>
        <w:jc w:val="center"/>
        <w:rPr>
          <w:b/>
          <w:bCs/>
          <w:i/>
          <w:iCs/>
        </w:rPr>
      </w:pPr>
      <w:r>
        <w:rPr>
          <w:noProof/>
          <w:lang w:val="en-US"/>
        </w:rPr>
        <w:drawing>
          <wp:inline distT="0" distB="0" distL="0" distR="0" wp14:anchorId="0DCAE549" wp14:editId="3BCACC87">
            <wp:extent cx="4156457" cy="15367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9711" cy="1552692"/>
                    </a:xfrm>
                    <a:prstGeom prst="rect">
                      <a:avLst/>
                    </a:prstGeom>
                    <a:noFill/>
                  </pic:spPr>
                </pic:pic>
              </a:graphicData>
            </a:graphic>
          </wp:inline>
        </w:drawing>
      </w:r>
    </w:p>
    <w:p w14:paraId="40EEF4E8" w14:textId="6D414E36" w:rsidR="00DD23A4" w:rsidRDefault="001E1944" w:rsidP="00C83D9C">
      <w:pPr>
        <w:spacing w:after="0"/>
        <w:contextualSpacing/>
        <w:jc w:val="center"/>
        <w:rPr>
          <w:lang w:val="en-US" w:eastAsia="ko-KR"/>
        </w:rPr>
      </w:pPr>
      <w:r>
        <w:rPr>
          <w:b/>
          <w:bCs/>
          <w:i/>
          <w:iCs/>
        </w:rPr>
        <w:t xml:space="preserve"> </w:t>
      </w:r>
      <w:bookmarkStart w:id="4" w:name="_Ref159008027"/>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1</w:t>
      </w:r>
      <w:r w:rsidRPr="004F0D45">
        <w:rPr>
          <w:noProof/>
        </w:rPr>
        <w:fldChar w:fldCharType="end"/>
      </w:r>
      <w:bookmarkEnd w:id="4"/>
      <w:r w:rsidRPr="004F0D45">
        <w:rPr>
          <w:bdr w:val="none" w:sz="0" w:space="0" w:color="auto" w:frame="1"/>
        </w:rPr>
        <w:t xml:space="preserve">: </w:t>
      </w:r>
      <w:r>
        <w:rPr>
          <w:bdr w:val="none" w:sz="0" w:space="0" w:color="auto" w:frame="1"/>
        </w:rPr>
        <w:t>Indication of time location of SBFD subbands</w:t>
      </w:r>
    </w:p>
    <w:p w14:paraId="2D51406D" w14:textId="77777777" w:rsidR="00C83D9C" w:rsidRPr="00C83D9C" w:rsidRDefault="00C83D9C" w:rsidP="00C83D9C">
      <w:pPr>
        <w:spacing w:after="0"/>
        <w:contextualSpacing/>
        <w:jc w:val="center"/>
        <w:rPr>
          <w:rStyle w:val="Emphasis"/>
          <w:i w:val="0"/>
          <w:iCs w:val="0"/>
          <w:lang w:val="en-US" w:eastAsia="ko-KR"/>
        </w:rPr>
      </w:pPr>
    </w:p>
    <w:p w14:paraId="44431BBE" w14:textId="1C3D734A" w:rsidR="00C83D9C" w:rsidRDefault="00DD23A4" w:rsidP="00C83D9C">
      <w:pPr>
        <w:spacing w:after="0"/>
        <w:jc w:val="both"/>
        <w:rPr>
          <w:b/>
          <w:bCs/>
          <w:i/>
          <w:iCs/>
        </w:rPr>
      </w:pPr>
      <w:bookmarkStart w:id="5" w:name="_Ref15900783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w:t>
      </w:r>
      <w:r w:rsidRPr="004F0D45">
        <w:rPr>
          <w:b/>
          <w:bCs/>
          <w:i/>
          <w:iCs/>
        </w:rPr>
        <w:fldChar w:fldCharType="end"/>
      </w:r>
      <w:r w:rsidRPr="004F0D45">
        <w:rPr>
          <w:rFonts w:cstheme="minorHAnsi"/>
          <w:b/>
          <w:bCs/>
          <w:i/>
          <w:iCs/>
        </w:rPr>
        <w:t xml:space="preserve">: </w:t>
      </w:r>
      <w:r w:rsidR="00C83D9C">
        <w:rPr>
          <w:b/>
          <w:bCs/>
          <w:i/>
          <w:iCs/>
        </w:rPr>
        <w:t xml:space="preserve">Provide a new higher layer parament to </w:t>
      </w:r>
      <w:r w:rsidR="00C83D9C" w:rsidRPr="004D6DBB">
        <w:rPr>
          <w:b/>
          <w:bCs/>
          <w:i/>
          <w:iCs/>
        </w:rPr>
        <w:t xml:space="preserve">indicate time location of SBFD subbands to SBFD-aware </w:t>
      </w:r>
      <w:proofErr w:type="gramStart"/>
      <w:r w:rsidR="00C83D9C">
        <w:rPr>
          <w:b/>
          <w:bCs/>
          <w:i/>
          <w:iCs/>
        </w:rPr>
        <w:t>UE</w:t>
      </w:r>
      <w:bookmarkEnd w:id="5"/>
      <w:r w:rsidR="00D14C0A">
        <w:rPr>
          <w:b/>
          <w:bCs/>
          <w:i/>
          <w:iCs/>
        </w:rPr>
        <w:t>;</w:t>
      </w:r>
      <w:proofErr w:type="gramEnd"/>
      <w:r w:rsidR="00C83D9C" w:rsidRPr="004D6DBB">
        <w:rPr>
          <w:b/>
          <w:bCs/>
          <w:i/>
          <w:iCs/>
        </w:rPr>
        <w:t xml:space="preserve">  </w:t>
      </w:r>
    </w:p>
    <w:p w14:paraId="5D8C1E6A" w14:textId="3910C9E4" w:rsidR="00C83D9C" w:rsidRPr="00C83D9C" w:rsidRDefault="00C83D9C" w:rsidP="00C83D9C">
      <w:pPr>
        <w:pStyle w:val="ListParagraph"/>
        <w:numPr>
          <w:ilvl w:val="0"/>
          <w:numId w:val="43"/>
        </w:numPr>
        <w:contextualSpacing w:val="0"/>
        <w:rPr>
          <w:b/>
          <w:bCs/>
          <w:i/>
          <w:iCs/>
          <w:sz w:val="20"/>
          <w:szCs w:val="20"/>
        </w:rPr>
      </w:pPr>
      <w:r w:rsidRPr="00C83D9C">
        <w:rPr>
          <w:b/>
          <w:bCs/>
          <w:i/>
          <w:iCs/>
          <w:sz w:val="20"/>
          <w:szCs w:val="20"/>
        </w:rPr>
        <w:t xml:space="preserve">The new parameter </w:t>
      </w:r>
      <w:r w:rsidR="001E67CD">
        <w:rPr>
          <w:b/>
          <w:bCs/>
          <w:i/>
          <w:iCs/>
          <w:sz w:val="20"/>
          <w:szCs w:val="20"/>
        </w:rPr>
        <w:t>can be</w:t>
      </w:r>
      <w:r w:rsidRPr="00C83D9C">
        <w:rPr>
          <w:b/>
          <w:bCs/>
          <w:i/>
          <w:iCs/>
          <w:sz w:val="20"/>
          <w:szCs w:val="20"/>
        </w:rPr>
        <w:t xml:space="preserve"> provided within ServingCellConfigCommonSIB and/or ServingCellConfigCommon information element(s)</w:t>
      </w:r>
      <w:r w:rsidR="00D14C0A">
        <w:rPr>
          <w:b/>
          <w:bCs/>
          <w:i/>
          <w:iCs/>
          <w:sz w:val="20"/>
          <w:szCs w:val="20"/>
        </w:rPr>
        <w:t>.</w:t>
      </w:r>
    </w:p>
    <w:p w14:paraId="6377B2E7" w14:textId="51F16590" w:rsidR="00C83D9C" w:rsidRPr="000F425A" w:rsidRDefault="00C83D9C" w:rsidP="00C83D9C">
      <w:pPr>
        <w:pStyle w:val="ListParagraph"/>
        <w:numPr>
          <w:ilvl w:val="0"/>
          <w:numId w:val="43"/>
        </w:numPr>
        <w:contextualSpacing w:val="0"/>
        <w:rPr>
          <w:b/>
          <w:bCs/>
          <w:i/>
          <w:iCs/>
          <w:sz w:val="20"/>
          <w:szCs w:val="20"/>
        </w:rPr>
      </w:pPr>
      <w:r w:rsidRPr="000F425A">
        <w:rPr>
          <w:b/>
          <w:bCs/>
          <w:i/>
          <w:iCs/>
          <w:sz w:val="20"/>
          <w:szCs w:val="20"/>
        </w:rPr>
        <w:t xml:space="preserve">The </w:t>
      </w:r>
      <w:r w:rsidR="001E67CD">
        <w:rPr>
          <w:b/>
          <w:bCs/>
          <w:i/>
          <w:iCs/>
          <w:sz w:val="20"/>
          <w:szCs w:val="20"/>
        </w:rPr>
        <w:t xml:space="preserve">new </w:t>
      </w:r>
      <w:r w:rsidRPr="000F425A">
        <w:rPr>
          <w:b/>
          <w:bCs/>
          <w:i/>
          <w:iCs/>
          <w:sz w:val="20"/>
          <w:szCs w:val="20"/>
        </w:rPr>
        <w:t>parameter</w:t>
      </w:r>
      <w:r w:rsidR="000F425A">
        <w:rPr>
          <w:b/>
          <w:bCs/>
          <w:i/>
          <w:iCs/>
          <w:sz w:val="20"/>
          <w:szCs w:val="20"/>
        </w:rPr>
        <w:t xml:space="preserve"> can be configured as a slot-level bitmap which</w:t>
      </w:r>
      <w:r w:rsidRPr="000F425A">
        <w:rPr>
          <w:b/>
          <w:bCs/>
          <w:i/>
          <w:iCs/>
          <w:sz w:val="20"/>
          <w:szCs w:val="20"/>
        </w:rPr>
        <w:t xml:space="preserve"> indicates whether a slot is SBFD or not</w:t>
      </w:r>
      <w:r w:rsidR="00D14C0A">
        <w:rPr>
          <w:b/>
          <w:bCs/>
          <w:i/>
          <w:iCs/>
          <w:sz w:val="20"/>
          <w:szCs w:val="20"/>
        </w:rPr>
        <w:t>.</w:t>
      </w:r>
    </w:p>
    <w:p w14:paraId="152A8E0F" w14:textId="0217456D" w:rsidR="00C83D9C" w:rsidRPr="00C83D9C" w:rsidRDefault="00C83D9C" w:rsidP="00DD23A4">
      <w:pPr>
        <w:spacing w:after="120"/>
        <w:jc w:val="both"/>
        <w:rPr>
          <w:rFonts w:cstheme="minorHAnsi"/>
          <w:b/>
          <w:bCs/>
          <w:i/>
          <w:iCs/>
          <w:lang w:val="fi-FI"/>
        </w:rPr>
      </w:pPr>
    </w:p>
    <w:p w14:paraId="5CEE729C" w14:textId="1946E6E4" w:rsidR="00C83D9C" w:rsidRDefault="00C83D9C" w:rsidP="00C83D9C">
      <w:pPr>
        <w:pStyle w:val="Heading3"/>
      </w:pPr>
      <w:r>
        <w:t xml:space="preserve">Special slots: </w:t>
      </w:r>
      <w:r w:rsidR="00AC6B41">
        <w:t xml:space="preserve">RRC </w:t>
      </w:r>
      <w:r w:rsidRPr="005F5A01">
        <w:rPr>
          <w:rFonts w:eastAsia="Malgun Gothic"/>
          <w:lang w:val="en-US" w:eastAsia="ko-KR"/>
        </w:rPr>
        <w:t>Common</w:t>
      </w:r>
      <w:r>
        <w:rPr>
          <w:rFonts w:eastAsia="Malgun Gothic"/>
          <w:i/>
          <w:iCs/>
          <w:lang w:val="en-US" w:eastAsia="ko-KR"/>
        </w:rPr>
        <w:t xml:space="preserve"> </w:t>
      </w:r>
      <w:r>
        <w:rPr>
          <w:rFonts w:eastAsia="Malgun Gothic"/>
          <w:lang w:val="en-US" w:eastAsia="ko-KR"/>
        </w:rPr>
        <w:t>vs</w:t>
      </w:r>
      <w:r w:rsidRPr="007E49DA">
        <w:t xml:space="preserve"> </w:t>
      </w:r>
      <w:r w:rsidR="00AC6B41">
        <w:t xml:space="preserve">RRC </w:t>
      </w:r>
      <w:r w:rsidRPr="005F5A01">
        <w:rPr>
          <w:rFonts w:eastAsia="Malgun Gothic"/>
          <w:lang w:val="en-US" w:eastAsia="ko-KR"/>
        </w:rPr>
        <w:t>Dedicated</w:t>
      </w:r>
      <w:r>
        <w:rPr>
          <w:rFonts w:eastAsia="Malgun Gothic"/>
          <w:lang w:val="en-US" w:eastAsia="ko-KR"/>
        </w:rPr>
        <w:t xml:space="preserve"> Signaling </w:t>
      </w:r>
    </w:p>
    <w:p w14:paraId="70A0FC5F" w14:textId="28CA2A9D" w:rsidR="00C83D9C" w:rsidRDefault="00C83D9C" w:rsidP="00C83D9C">
      <w:pPr>
        <w:jc w:val="both"/>
      </w:pPr>
      <w:r>
        <w:t xml:space="preserve">For slot-level indication of SBFD subband time location, the SBFD-aware UE requires a separate interpretation of slot partitioning when a “special” slot is indicated as a SBFD slot. A “special” slot in this case is any slot configured with a mix of symbol types (downlink, uplink and/or flexible) by </w:t>
      </w:r>
      <w:r w:rsidR="00AC6B41">
        <w:t xml:space="preserve">RRC </w:t>
      </w:r>
      <w:r>
        <w:t xml:space="preserve">common </w:t>
      </w:r>
      <w:r w:rsidR="00A3794C">
        <w:t>signalling</w:t>
      </w:r>
      <w:r>
        <w:t xml:space="preserve"> (using </w:t>
      </w:r>
      <w:r w:rsidR="002B654B">
        <w:rPr>
          <w:rFonts w:eastAsia="Malgun Gothic"/>
          <w:i/>
          <w:iCs/>
          <w:lang w:val="en-US" w:eastAsia="ko-KR"/>
        </w:rPr>
        <w:t>tdd</w:t>
      </w:r>
      <w:r w:rsidR="002B654B" w:rsidRPr="003E0D9F">
        <w:rPr>
          <w:rFonts w:eastAsia="Malgun Gothic"/>
          <w:i/>
          <w:iCs/>
          <w:lang w:val="en-US" w:eastAsia="ko-KR"/>
        </w:rPr>
        <w:t>-UL-DL-Config</w:t>
      </w:r>
      <w:r w:rsidR="002B654B">
        <w:rPr>
          <w:rFonts w:eastAsia="Malgun Gothic"/>
          <w:i/>
          <w:iCs/>
          <w:lang w:val="en-US" w:eastAsia="ko-KR"/>
        </w:rPr>
        <w:t>uration</w:t>
      </w:r>
      <w:r w:rsidR="002B654B" w:rsidRPr="003E0D9F">
        <w:rPr>
          <w:rFonts w:eastAsia="Malgun Gothic"/>
          <w:i/>
          <w:iCs/>
          <w:lang w:val="en-US" w:eastAsia="ko-KR"/>
        </w:rPr>
        <w:t>Common</w:t>
      </w:r>
      <w:r>
        <w:t>) or by</w:t>
      </w:r>
      <w:r w:rsidR="00AC6B41">
        <w:t xml:space="preserve"> RRC</w:t>
      </w:r>
      <w:r>
        <w:t xml:space="preserve"> dedicated </w:t>
      </w:r>
      <w:r w:rsidR="00A3794C">
        <w:t>signalling</w:t>
      </w:r>
      <w:r>
        <w:t xml:space="preserve"> (using </w:t>
      </w:r>
      <w:r w:rsidR="005126FB" w:rsidRPr="009C7A59">
        <w:rPr>
          <w:rFonts w:eastAsia="Malgun Gothic"/>
          <w:i/>
          <w:iCs/>
          <w:lang w:eastAsia="ko-KR"/>
        </w:rPr>
        <w:t>tdd-UL-DL-ConfigurationDedicated</w:t>
      </w:r>
      <w:r>
        <w:t xml:space="preserve">). </w:t>
      </w:r>
    </w:p>
    <w:p w14:paraId="6AFEC005" w14:textId="26E6FA7D" w:rsidR="00C83D9C" w:rsidRPr="009C250E" w:rsidRDefault="00C83D9C" w:rsidP="00C83D9C">
      <w:pPr>
        <w:jc w:val="both"/>
        <w:rPr>
          <w:rFonts w:eastAsia="Malgun Gothic"/>
          <w:lang w:val="en-US" w:eastAsia="ko-KR"/>
        </w:rPr>
      </w:pPr>
      <w:r>
        <w:t xml:space="preserve">In the case of </w:t>
      </w:r>
      <w:r w:rsidR="002B654B">
        <w:rPr>
          <w:rFonts w:eastAsia="Malgun Gothic"/>
          <w:i/>
          <w:iCs/>
          <w:lang w:val="en-US" w:eastAsia="ko-KR"/>
        </w:rPr>
        <w:t>tdd</w:t>
      </w:r>
      <w:r w:rsidR="002B654B" w:rsidRPr="003E0D9F">
        <w:rPr>
          <w:rFonts w:eastAsia="Malgun Gothic"/>
          <w:i/>
          <w:iCs/>
          <w:lang w:val="en-US" w:eastAsia="ko-KR"/>
        </w:rPr>
        <w:t>-UL-DL-Config</w:t>
      </w:r>
      <w:r w:rsidR="002B654B">
        <w:rPr>
          <w:rFonts w:eastAsia="Malgun Gothic"/>
          <w:i/>
          <w:iCs/>
          <w:lang w:val="en-US" w:eastAsia="ko-KR"/>
        </w:rPr>
        <w:t>uration</w:t>
      </w:r>
      <w:r w:rsidR="002B654B" w:rsidRPr="003E0D9F">
        <w:rPr>
          <w:rFonts w:eastAsia="Malgun Gothic"/>
          <w:i/>
          <w:iCs/>
          <w:lang w:val="en-US" w:eastAsia="ko-KR"/>
        </w:rPr>
        <w:t>Common</w:t>
      </w:r>
      <w:r>
        <w:rPr>
          <w:rFonts w:eastAsia="Malgun Gothic"/>
          <w:i/>
          <w:iCs/>
          <w:lang w:val="en-US" w:eastAsia="ko-KR"/>
        </w:rPr>
        <w:t xml:space="preserve">, </w:t>
      </w:r>
      <w:r>
        <w:rPr>
          <w:rFonts w:eastAsia="Malgun Gothic"/>
          <w:lang w:val="en-US" w:eastAsia="ko-KR"/>
        </w:rPr>
        <w:t>whenever a TDD pattern configures some slots as “flexible” slots, there are two “special” slots. The first</w:t>
      </w:r>
      <w:r w:rsidR="00C146AA">
        <w:rPr>
          <w:rFonts w:eastAsia="Malgun Gothic"/>
          <w:lang w:val="en-US" w:eastAsia="ko-KR"/>
        </w:rPr>
        <w:t xml:space="preserve"> special</w:t>
      </w:r>
      <w:r>
        <w:rPr>
          <w:rFonts w:eastAsia="Malgun Gothic"/>
          <w:lang w:val="en-US" w:eastAsia="ko-KR"/>
        </w:rPr>
        <w:t xml:space="preserve"> slot</w:t>
      </w:r>
      <w:r w:rsidR="00C146AA">
        <w:rPr>
          <w:rFonts w:eastAsia="Malgun Gothic"/>
          <w:lang w:val="en-US" w:eastAsia="ko-KR"/>
        </w:rPr>
        <w:t>,</w:t>
      </w:r>
      <w:r>
        <w:rPr>
          <w:rFonts w:eastAsia="Malgun Gothic"/>
          <w:lang w:val="en-US" w:eastAsia="ko-KR"/>
        </w:rPr>
        <w:t xml:space="preserve"> immediately following the downlink</w:t>
      </w:r>
      <w:r w:rsidR="00C146AA">
        <w:rPr>
          <w:rFonts w:eastAsia="Malgun Gothic"/>
          <w:lang w:val="en-US" w:eastAsia="ko-KR"/>
        </w:rPr>
        <w:t>-only</w:t>
      </w:r>
      <w:r>
        <w:rPr>
          <w:rFonts w:eastAsia="Malgun Gothic"/>
          <w:lang w:val="en-US" w:eastAsia="ko-KR"/>
        </w:rPr>
        <w:t xml:space="preserve"> slots, consist of </w:t>
      </w:r>
      <w:r w:rsidRPr="00C52016">
        <w:rPr>
          <w:rFonts w:eastAsia="Malgun Gothic"/>
          <w:lang w:val="en-US" w:eastAsia="ko-KR"/>
        </w:rPr>
        <w:t xml:space="preserve">downlink </w:t>
      </w:r>
      <w:r>
        <w:rPr>
          <w:rFonts w:eastAsia="Malgun Gothic"/>
          <w:lang w:val="en-US" w:eastAsia="ko-KR"/>
        </w:rPr>
        <w:t>an</w:t>
      </w:r>
      <w:r w:rsidRPr="00C52016">
        <w:rPr>
          <w:rFonts w:eastAsia="Malgun Gothic"/>
          <w:lang w:val="en-US" w:eastAsia="ko-KR"/>
        </w:rPr>
        <w:t>d flexible symbols</w:t>
      </w:r>
      <w:r>
        <w:rPr>
          <w:rFonts w:eastAsia="Malgun Gothic"/>
          <w:lang w:val="en-US" w:eastAsia="ko-KR"/>
        </w:rPr>
        <w:t>. The other special slot, immediately preceding the uplink</w:t>
      </w:r>
      <w:r w:rsidR="00C146AA">
        <w:rPr>
          <w:rFonts w:eastAsia="Malgun Gothic"/>
          <w:lang w:val="en-US" w:eastAsia="ko-KR"/>
        </w:rPr>
        <w:t>-only</w:t>
      </w:r>
      <w:r>
        <w:rPr>
          <w:rFonts w:eastAsia="Malgun Gothic"/>
          <w:lang w:val="en-US" w:eastAsia="ko-KR"/>
        </w:rPr>
        <w:t xml:space="preserve"> slots, consist of flexible</w:t>
      </w:r>
      <w:r w:rsidRPr="00C52016">
        <w:rPr>
          <w:rFonts w:eastAsia="Malgun Gothic"/>
          <w:lang w:val="en-US" w:eastAsia="ko-KR"/>
        </w:rPr>
        <w:t xml:space="preserve"> and </w:t>
      </w:r>
      <w:r>
        <w:rPr>
          <w:rFonts w:eastAsia="Malgun Gothic"/>
          <w:lang w:val="en-US" w:eastAsia="ko-KR"/>
        </w:rPr>
        <w:t>uplink</w:t>
      </w:r>
      <w:r w:rsidRPr="00C52016">
        <w:rPr>
          <w:rFonts w:eastAsia="Malgun Gothic"/>
          <w:lang w:val="en-US" w:eastAsia="ko-KR"/>
        </w:rPr>
        <w:t xml:space="preserve"> symbols</w:t>
      </w:r>
      <w:r>
        <w:rPr>
          <w:rFonts w:eastAsia="Malgun Gothic"/>
          <w:lang w:val="en-US" w:eastAsia="ko-KR"/>
        </w:rPr>
        <w:t xml:space="preserve">. Since these two slots contain a mix of symbol types, </w:t>
      </w:r>
      <w:r>
        <w:rPr>
          <w:rFonts w:eastAsia="Malgun Gothic"/>
          <w:lang w:eastAsia="ko-KR"/>
        </w:rPr>
        <w:t xml:space="preserve">a different interpretation is required when these slots are indicated as SBFD slots – compared to the case when a slot containing only one symbol type (e.g., downlink-only symbols) is indicated as a SBFD slot. </w:t>
      </w:r>
    </w:p>
    <w:p w14:paraId="334C8C98" w14:textId="3A5DF92B" w:rsidR="00C83D9C" w:rsidRPr="00DC2543" w:rsidRDefault="00C83D9C" w:rsidP="003525B8">
      <w:pPr>
        <w:jc w:val="both"/>
        <w:rPr>
          <w:rFonts w:eastAsia="Malgun Gothic"/>
          <w:lang w:val="en-US" w:eastAsia="ko-KR"/>
        </w:rPr>
      </w:pPr>
      <w:r>
        <w:t xml:space="preserve">Additionally, </w:t>
      </w:r>
      <w:r>
        <w:rPr>
          <w:rFonts w:eastAsia="Malgun Gothic"/>
          <w:lang w:val="en-US" w:eastAsia="ko-KR"/>
        </w:rPr>
        <w:t xml:space="preserve">some slots configured as flexible by </w:t>
      </w:r>
      <w:r w:rsidR="002B654B">
        <w:rPr>
          <w:rFonts w:eastAsia="Malgun Gothic"/>
          <w:i/>
          <w:iCs/>
          <w:lang w:val="en-US" w:eastAsia="ko-KR"/>
        </w:rPr>
        <w:t>tdd</w:t>
      </w:r>
      <w:r w:rsidR="002B654B" w:rsidRPr="003E0D9F">
        <w:rPr>
          <w:rFonts w:eastAsia="Malgun Gothic"/>
          <w:i/>
          <w:iCs/>
          <w:lang w:val="en-US" w:eastAsia="ko-KR"/>
        </w:rPr>
        <w:t>-UL-DL-Config</w:t>
      </w:r>
      <w:r w:rsidR="002B654B">
        <w:rPr>
          <w:rFonts w:eastAsia="Malgun Gothic"/>
          <w:i/>
          <w:iCs/>
          <w:lang w:val="en-US" w:eastAsia="ko-KR"/>
        </w:rPr>
        <w:t>uration</w:t>
      </w:r>
      <w:r w:rsidR="002B654B" w:rsidRPr="003E0D9F">
        <w:rPr>
          <w:rFonts w:eastAsia="Malgun Gothic"/>
          <w:i/>
          <w:iCs/>
          <w:lang w:val="en-US" w:eastAsia="ko-KR"/>
        </w:rPr>
        <w:t>Common</w:t>
      </w:r>
      <w:r w:rsidR="002B654B">
        <w:rPr>
          <w:rFonts w:eastAsia="Malgun Gothic"/>
          <w:i/>
          <w:iCs/>
          <w:lang w:val="en-US" w:eastAsia="ko-KR"/>
        </w:rPr>
        <w:t xml:space="preserve"> </w:t>
      </w:r>
      <w:r>
        <w:rPr>
          <w:rFonts w:eastAsia="Malgun Gothic"/>
          <w:lang w:val="en-US" w:eastAsia="ko-KR"/>
        </w:rPr>
        <w:t>may</w:t>
      </w:r>
      <w:r w:rsidR="003740FB">
        <w:rPr>
          <w:rFonts w:eastAsia="Malgun Gothic"/>
          <w:lang w:val="en-US" w:eastAsia="ko-KR"/>
        </w:rPr>
        <w:t xml:space="preserve"> be</w:t>
      </w:r>
      <w:r>
        <w:rPr>
          <w:rFonts w:eastAsia="Malgun Gothic"/>
          <w:lang w:val="en-US" w:eastAsia="ko-KR"/>
        </w:rPr>
        <w:t xml:space="preserve"> reconfigure</w:t>
      </w:r>
      <w:r w:rsidR="003740FB">
        <w:rPr>
          <w:rFonts w:eastAsia="Malgun Gothic"/>
          <w:lang w:val="en-US" w:eastAsia="ko-KR"/>
        </w:rPr>
        <w:t>d</w:t>
      </w:r>
      <w:r>
        <w:rPr>
          <w:rFonts w:eastAsia="Malgun Gothic"/>
          <w:lang w:val="en-US" w:eastAsia="ko-KR"/>
        </w:rPr>
        <w:t xml:space="preserve"> as “special” slots </w:t>
      </w:r>
      <w:r w:rsidR="003740FB">
        <w:rPr>
          <w:rFonts w:eastAsia="Malgun Gothic"/>
          <w:lang w:val="en-US" w:eastAsia="ko-KR"/>
        </w:rPr>
        <w:t>using</w:t>
      </w:r>
      <w:r w:rsidRPr="009C7A59">
        <w:rPr>
          <w:rFonts w:eastAsia="Malgun Gothic"/>
          <w:lang w:val="en-US" w:eastAsia="ko-KR"/>
        </w:rPr>
        <w:t xml:space="preserve"> </w:t>
      </w:r>
      <w:r w:rsidRPr="009C7A59">
        <w:rPr>
          <w:rFonts w:eastAsia="Malgun Gothic"/>
          <w:i/>
          <w:iCs/>
          <w:lang w:eastAsia="ko-KR"/>
        </w:rPr>
        <w:t>tdd-UL-DL-ConfigurationDedicated</w:t>
      </w:r>
      <w:r>
        <w:rPr>
          <w:rFonts w:eastAsia="Malgun Gothic"/>
          <w:lang w:eastAsia="ko-KR"/>
        </w:rPr>
        <w:t xml:space="preserve">. However, this may be a less frequent configuration compared the configuration of special slots by </w:t>
      </w:r>
      <w:r w:rsidR="003740FB">
        <w:rPr>
          <w:rFonts w:eastAsia="Malgun Gothic"/>
          <w:lang w:eastAsia="ko-KR"/>
        </w:rPr>
        <w:t xml:space="preserve">RRC </w:t>
      </w:r>
      <w:r>
        <w:rPr>
          <w:rFonts w:eastAsia="Malgun Gothic"/>
          <w:lang w:eastAsia="ko-KR"/>
        </w:rPr>
        <w:t xml:space="preserve">common </w:t>
      </w:r>
      <w:r w:rsidR="00A3794C">
        <w:rPr>
          <w:rFonts w:eastAsia="Malgun Gothic"/>
          <w:lang w:eastAsia="ko-KR"/>
        </w:rPr>
        <w:t>signalling</w:t>
      </w:r>
      <w:r>
        <w:rPr>
          <w:rFonts w:eastAsia="Malgun Gothic"/>
          <w:lang w:eastAsia="ko-KR"/>
        </w:rPr>
        <w:t xml:space="preserve">. Therefore, a new rule can be defined to restrict reconfiguration of a “flexible” slot as a “special” by dedicated </w:t>
      </w:r>
      <w:r w:rsidR="00A3794C">
        <w:rPr>
          <w:rFonts w:eastAsia="Malgun Gothic"/>
          <w:lang w:eastAsia="ko-KR"/>
        </w:rPr>
        <w:t>signalling</w:t>
      </w:r>
      <w:r>
        <w:rPr>
          <w:rFonts w:eastAsia="Malgun Gothic"/>
          <w:lang w:eastAsia="ko-KR"/>
        </w:rPr>
        <w:t xml:space="preserve"> when the slot is indicated as a SBFD slot. </w:t>
      </w:r>
      <w:r w:rsidR="00DC2543">
        <w:rPr>
          <w:rFonts w:eastAsia="Malgun Gothic"/>
          <w:lang w:val="en-US" w:eastAsia="ko-KR"/>
        </w:rPr>
        <w:t xml:space="preserve">This simplifies the signaling requirements and reduces signaling overhead.  </w:t>
      </w:r>
      <w:r w:rsidR="00DC2543" w:rsidRPr="00DB56E6">
        <w:rPr>
          <w:rFonts w:eastAsia="Malgun Gothic"/>
          <w:lang w:val="en-US" w:eastAsia="ko-KR"/>
        </w:rPr>
        <w:t xml:space="preserve"> </w:t>
      </w:r>
      <w:r>
        <w:rPr>
          <w:rFonts w:eastAsia="Malgun Gothic"/>
          <w:lang w:eastAsia="ko-KR"/>
        </w:rPr>
        <w:t xml:space="preserve"> </w:t>
      </w:r>
    </w:p>
    <w:p w14:paraId="2ED4BC13" w14:textId="2987698C" w:rsidR="00C83D9C" w:rsidRDefault="00C83D9C" w:rsidP="00C83D9C">
      <w:pPr>
        <w:jc w:val="both"/>
        <w:rPr>
          <w:b/>
          <w:bCs/>
          <w:i/>
          <w:iCs/>
        </w:rPr>
      </w:pPr>
      <w:bookmarkStart w:id="6" w:name="_Ref159007696"/>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1</w:t>
      </w:r>
      <w:r w:rsidRPr="004F0D45">
        <w:rPr>
          <w:b/>
          <w:bCs/>
          <w:i/>
          <w:iCs/>
        </w:rPr>
        <w:fldChar w:fldCharType="end"/>
      </w:r>
      <w:r w:rsidRPr="004F0D45">
        <w:t xml:space="preserve">: </w:t>
      </w:r>
      <w:r>
        <w:rPr>
          <w:b/>
          <w:bCs/>
          <w:i/>
          <w:iCs/>
        </w:rPr>
        <w:t>A different interpretation is required when a special slot is indicated as a SBFD slot, since the slot contains a mix of symbol types.</w:t>
      </w:r>
      <w:bookmarkEnd w:id="6"/>
    </w:p>
    <w:p w14:paraId="4D1DBA06" w14:textId="3A319301" w:rsidR="0039053E" w:rsidRDefault="0039053E" w:rsidP="0039053E">
      <w:pPr>
        <w:jc w:val="both"/>
        <w:rPr>
          <w:rFonts w:eastAsia="Malgun Gothic"/>
          <w:b/>
          <w:bCs/>
          <w:i/>
          <w:iCs/>
          <w:lang w:val="en-US" w:eastAsia="ko-KR"/>
        </w:rPr>
      </w:pPr>
      <w:bookmarkStart w:id="7" w:name="_Ref159007842"/>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2</w:t>
      </w:r>
      <w:r w:rsidRPr="004F0D45">
        <w:rPr>
          <w:b/>
          <w:bCs/>
          <w:i/>
          <w:iCs/>
        </w:rPr>
        <w:fldChar w:fldCharType="end"/>
      </w:r>
      <w:r w:rsidRPr="004F0D45">
        <w:rPr>
          <w:rFonts w:cstheme="minorHAnsi"/>
          <w:b/>
          <w:bCs/>
          <w:i/>
          <w:iCs/>
        </w:rPr>
        <w:t xml:space="preserve">: </w:t>
      </w:r>
      <w:r w:rsidRPr="00CD19FF">
        <w:rPr>
          <w:rFonts w:eastAsia="Malgun Gothic"/>
          <w:b/>
          <w:bCs/>
          <w:i/>
          <w:iCs/>
          <w:lang w:val="en-US" w:eastAsia="ko-KR"/>
        </w:rPr>
        <w:t xml:space="preserve">When a slot configured as a “special” slot by </w:t>
      </w:r>
      <w:r>
        <w:rPr>
          <w:rFonts w:eastAsia="Malgun Gothic"/>
          <w:b/>
          <w:bCs/>
          <w:i/>
          <w:iCs/>
          <w:lang w:val="en-US" w:eastAsia="ko-KR"/>
        </w:rPr>
        <w:t>TDD</w:t>
      </w:r>
      <w:r w:rsidRPr="00CD19FF">
        <w:rPr>
          <w:rFonts w:eastAsia="Malgun Gothic"/>
          <w:b/>
          <w:bCs/>
          <w:i/>
          <w:iCs/>
          <w:lang w:eastAsia="ko-KR"/>
        </w:rPr>
        <w:t>-UL-DL-ConfigCommon</w:t>
      </w:r>
      <w:r w:rsidRPr="00CD19FF">
        <w:rPr>
          <w:rFonts w:eastAsia="Malgun Gothic"/>
          <w:b/>
          <w:bCs/>
          <w:i/>
          <w:iCs/>
          <w:lang w:val="en-US" w:eastAsia="ko-KR"/>
        </w:rPr>
        <w:t xml:space="preserve"> </w:t>
      </w:r>
      <w:proofErr w:type="gramStart"/>
      <w:r w:rsidR="00873B1E">
        <w:rPr>
          <w:rFonts w:eastAsia="Malgun Gothic"/>
          <w:b/>
          <w:bCs/>
          <w:i/>
          <w:iCs/>
          <w:lang w:val="en-US" w:eastAsia="ko-KR"/>
        </w:rPr>
        <w:t>and</w:t>
      </w:r>
      <w:r w:rsidR="00873B1E" w:rsidRPr="00CD19FF">
        <w:rPr>
          <w:rFonts w:eastAsia="Malgun Gothic"/>
          <w:b/>
          <w:bCs/>
          <w:i/>
          <w:iCs/>
          <w:lang w:val="en-US" w:eastAsia="ko-KR"/>
        </w:rPr>
        <w:t xml:space="preserve"> </w:t>
      </w:r>
      <w:r w:rsidRPr="00CD19FF">
        <w:rPr>
          <w:rFonts w:eastAsia="Malgun Gothic"/>
          <w:b/>
          <w:bCs/>
          <w:i/>
          <w:iCs/>
          <w:lang w:val="en-US" w:eastAsia="ko-KR"/>
        </w:rPr>
        <w:t>also</w:t>
      </w:r>
      <w:proofErr w:type="gramEnd"/>
      <w:r w:rsidRPr="00CD19FF">
        <w:rPr>
          <w:rFonts w:eastAsia="Malgun Gothic"/>
          <w:b/>
          <w:bCs/>
          <w:i/>
          <w:iCs/>
          <w:lang w:val="en-US" w:eastAsia="ko-KR"/>
        </w:rPr>
        <w:t xml:space="preserve"> indicated as a SBFD slot, the UE considers only downlink and/or flexible symbols of the “special” slot as SBFD symbols</w:t>
      </w:r>
      <w:r>
        <w:rPr>
          <w:rFonts w:eastAsia="Malgun Gothic"/>
          <w:b/>
          <w:bCs/>
          <w:i/>
          <w:iCs/>
          <w:lang w:val="en-US" w:eastAsia="ko-KR"/>
        </w:rPr>
        <w:t xml:space="preserve"> – uplink symbols</w:t>
      </w:r>
      <w:r w:rsidR="004E6108">
        <w:rPr>
          <w:rFonts w:eastAsia="Malgun Gothic"/>
          <w:b/>
          <w:bCs/>
          <w:i/>
          <w:iCs/>
          <w:lang w:val="en-US" w:eastAsia="ko-KR"/>
        </w:rPr>
        <w:t xml:space="preserve"> a special slot</w:t>
      </w:r>
      <w:r>
        <w:rPr>
          <w:rFonts w:eastAsia="Malgun Gothic"/>
          <w:b/>
          <w:bCs/>
          <w:i/>
          <w:iCs/>
          <w:lang w:val="en-US" w:eastAsia="ko-KR"/>
        </w:rPr>
        <w:t xml:space="preserve"> are not considered as partitioned.</w:t>
      </w:r>
      <w:bookmarkEnd w:id="7"/>
      <w:r>
        <w:rPr>
          <w:rFonts w:eastAsia="Malgun Gothic"/>
          <w:b/>
          <w:bCs/>
          <w:i/>
          <w:iCs/>
          <w:lang w:val="en-US" w:eastAsia="ko-KR"/>
        </w:rPr>
        <w:t xml:space="preserve"> </w:t>
      </w:r>
    </w:p>
    <w:p w14:paraId="651901DA" w14:textId="5B3B9D96" w:rsidR="001E3A20" w:rsidRPr="001E3A20" w:rsidRDefault="001E3A20" w:rsidP="0039053E">
      <w:pPr>
        <w:jc w:val="both"/>
        <w:rPr>
          <w:i/>
          <w:iCs/>
        </w:rPr>
      </w:pPr>
      <w:bookmarkStart w:id="8" w:name="_Ref159007855"/>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3</w:t>
      </w:r>
      <w:r w:rsidRPr="004F0D45">
        <w:rPr>
          <w:b/>
          <w:bCs/>
          <w:i/>
          <w:iCs/>
        </w:rPr>
        <w:fldChar w:fldCharType="end"/>
      </w:r>
      <w:r w:rsidRPr="004F0D45">
        <w:rPr>
          <w:rFonts w:cstheme="minorHAnsi"/>
          <w:b/>
          <w:bCs/>
          <w:i/>
          <w:iCs/>
        </w:rPr>
        <w:t>:</w:t>
      </w:r>
      <w:r>
        <w:rPr>
          <w:rFonts w:cstheme="minorHAnsi"/>
          <w:b/>
          <w:bCs/>
          <w:i/>
          <w:iCs/>
        </w:rPr>
        <w:t xml:space="preserve"> </w:t>
      </w:r>
      <w:r w:rsidRPr="001E3A20">
        <w:rPr>
          <w:rFonts w:eastAsia="Malgun Gothic"/>
          <w:b/>
          <w:bCs/>
          <w:i/>
          <w:iCs/>
          <w:lang w:eastAsia="ko-KR"/>
        </w:rPr>
        <w:t xml:space="preserve">If a </w:t>
      </w:r>
      <w:r w:rsidRPr="001E3A20">
        <w:rPr>
          <w:b/>
          <w:bCs/>
          <w:i/>
          <w:iCs/>
        </w:rPr>
        <w:t xml:space="preserve">“flexible” slot </w:t>
      </w:r>
      <w:r w:rsidRPr="001E3A20">
        <w:rPr>
          <w:rFonts w:eastAsia="Malgun Gothic"/>
          <w:b/>
          <w:bCs/>
          <w:i/>
          <w:iCs/>
          <w:lang w:eastAsia="ko-KR"/>
        </w:rPr>
        <w:t xml:space="preserve">is indicated as a SBFD slot, </w:t>
      </w:r>
      <w:r w:rsidRPr="001E3A20">
        <w:rPr>
          <w:b/>
          <w:bCs/>
          <w:i/>
          <w:iCs/>
        </w:rPr>
        <w:t xml:space="preserve">the UE does not expect </w:t>
      </w:r>
      <w:r>
        <w:rPr>
          <w:b/>
          <w:bCs/>
          <w:i/>
          <w:iCs/>
        </w:rPr>
        <w:t xml:space="preserve">the </w:t>
      </w:r>
      <w:r w:rsidRPr="001E3A20">
        <w:rPr>
          <w:b/>
          <w:bCs/>
          <w:i/>
          <w:iCs/>
        </w:rPr>
        <w:t xml:space="preserve">slot to be reconfigured as a “special” slot </w:t>
      </w:r>
      <w:r w:rsidR="00160A29">
        <w:rPr>
          <w:b/>
          <w:bCs/>
          <w:i/>
          <w:iCs/>
        </w:rPr>
        <w:t>using</w:t>
      </w:r>
      <w:r w:rsidRPr="001E3A20">
        <w:rPr>
          <w:b/>
          <w:bCs/>
          <w:i/>
          <w:iCs/>
        </w:rPr>
        <w:t xml:space="preserve"> </w:t>
      </w:r>
      <w:bookmarkEnd w:id="8"/>
      <w:r w:rsidR="005126FB" w:rsidRPr="005126FB">
        <w:rPr>
          <w:rFonts w:eastAsia="Malgun Gothic"/>
          <w:b/>
          <w:bCs/>
          <w:i/>
          <w:iCs/>
          <w:lang w:val="en-US" w:eastAsia="ko-KR"/>
        </w:rPr>
        <w:t>tdd-UL-DL-ConfigurationDedicated</w:t>
      </w:r>
      <w:r w:rsidR="00873B1E">
        <w:rPr>
          <w:rFonts w:eastAsia="Malgun Gothic"/>
          <w:b/>
          <w:bCs/>
          <w:i/>
          <w:iCs/>
          <w:lang w:eastAsia="ko-KR"/>
        </w:rPr>
        <w:t>.</w:t>
      </w:r>
    </w:p>
    <w:p w14:paraId="506B8DF6" w14:textId="71BBCDCB" w:rsidR="00ED4B8C" w:rsidRDefault="00ED4B8C" w:rsidP="00284153">
      <w:pPr>
        <w:pStyle w:val="Heading3"/>
      </w:pPr>
      <w:r>
        <w:t>Indication of Frequency Location of SBFD Subbands</w:t>
      </w:r>
    </w:p>
    <w:p w14:paraId="322CAABC" w14:textId="47B8975B" w:rsidR="005964C1" w:rsidRDefault="00ED4B8C" w:rsidP="008F16C8">
      <w:pPr>
        <w:spacing w:after="120"/>
        <w:jc w:val="both"/>
        <w:rPr>
          <w:lang w:val="en-US"/>
        </w:rPr>
      </w:pPr>
      <w:r>
        <w:t xml:space="preserve">In the current specification, the network configures the UE with the higher layer parameter </w:t>
      </w:r>
      <w:r w:rsidRPr="00AF41AF">
        <w:rPr>
          <w:i/>
          <w:iCs/>
          <w:lang w:val="en-US"/>
        </w:rPr>
        <w:t>SCS-SpecificCarrier</w:t>
      </w:r>
      <w:r>
        <w:rPr>
          <w:lang w:val="en-US"/>
        </w:rPr>
        <w:t xml:space="preserve">, which indicates the location and width of the uplink and/or downlink carrier. For the primary serving cell this parameter is configured as part of </w:t>
      </w:r>
      <w:r w:rsidRPr="00170A17">
        <w:rPr>
          <w:i/>
          <w:iCs/>
          <w:lang w:val="en-US"/>
        </w:rPr>
        <w:t>DownlinkConfigSIB</w:t>
      </w:r>
      <w:r>
        <w:rPr>
          <w:lang w:val="en-US"/>
        </w:rPr>
        <w:t xml:space="preserve"> and </w:t>
      </w:r>
      <w:r>
        <w:rPr>
          <w:i/>
          <w:iCs/>
          <w:lang w:val="en-US"/>
        </w:rPr>
        <w:t>Up</w:t>
      </w:r>
      <w:r w:rsidRPr="00170A17">
        <w:rPr>
          <w:i/>
          <w:iCs/>
          <w:lang w:val="en-US"/>
        </w:rPr>
        <w:t>linkConfigSIB</w:t>
      </w:r>
      <w:r>
        <w:rPr>
          <w:i/>
          <w:iCs/>
          <w:lang w:val="en-US"/>
        </w:rPr>
        <w:t xml:space="preserve"> </w:t>
      </w:r>
      <w:r w:rsidRPr="00170A17">
        <w:rPr>
          <w:lang w:val="en-US"/>
        </w:rPr>
        <w:t>(</w:t>
      </w:r>
      <w:r>
        <w:rPr>
          <w:lang w:val="en-US"/>
        </w:rPr>
        <w:t xml:space="preserve">provided within </w:t>
      </w:r>
      <w:r w:rsidRPr="00C26D36">
        <w:rPr>
          <w:i/>
          <w:iCs/>
        </w:rPr>
        <w:t>ServingCellConfigCommonSIB</w:t>
      </w:r>
      <w:r w:rsidRPr="00170A17">
        <w:rPr>
          <w:lang w:val="en-US"/>
        </w:rPr>
        <w:t>)</w:t>
      </w:r>
      <w:r>
        <w:rPr>
          <w:lang w:val="en-US"/>
        </w:rPr>
        <w:t xml:space="preserve"> for the downlink and uplink carriers</w:t>
      </w:r>
      <w:r w:rsidR="00981BD8">
        <w:rPr>
          <w:lang w:val="en-US"/>
        </w:rPr>
        <w:t>,</w:t>
      </w:r>
      <w:r>
        <w:rPr>
          <w:lang w:val="en-US"/>
        </w:rPr>
        <w:t xml:space="preserve"> respectively. For example, considering the case of downlink, </w:t>
      </w:r>
      <w:r w:rsidRPr="00170A17">
        <w:rPr>
          <w:i/>
          <w:iCs/>
          <w:lang w:val="en-US"/>
        </w:rPr>
        <w:t>DownlinkConfigSIB</w:t>
      </w:r>
      <w:r>
        <w:rPr>
          <w:i/>
          <w:iCs/>
          <w:lang w:val="en-US"/>
        </w:rPr>
        <w:t xml:space="preserve"> </w:t>
      </w:r>
      <w:r>
        <w:rPr>
          <w:lang w:val="en-US"/>
        </w:rPr>
        <w:t xml:space="preserve">contains the parameter </w:t>
      </w:r>
      <w:r w:rsidRPr="00170A17">
        <w:rPr>
          <w:i/>
          <w:iCs/>
          <w:lang w:val="en-US"/>
        </w:rPr>
        <w:t>FrequencyInfoDL-SIB</w:t>
      </w:r>
      <w:r w:rsidRPr="00170A17">
        <w:rPr>
          <w:lang w:val="en-US"/>
        </w:rPr>
        <w:t>,</w:t>
      </w:r>
      <w:r>
        <w:rPr>
          <w:lang w:val="en-US"/>
        </w:rPr>
        <w:t xml:space="preserve"> which provides an instance of </w:t>
      </w:r>
      <w:r w:rsidRPr="00AF41AF">
        <w:rPr>
          <w:i/>
          <w:iCs/>
          <w:lang w:val="en-US"/>
        </w:rPr>
        <w:t>SCS-SpecificCarrier</w:t>
      </w:r>
      <w:r>
        <w:rPr>
          <w:lang w:val="en-US"/>
        </w:rPr>
        <w:t xml:space="preserve"> for each configured subcarrier spacing. </w:t>
      </w:r>
      <w:r w:rsidR="005964C1">
        <w:rPr>
          <w:lang w:val="en-US"/>
        </w:rPr>
        <w:t xml:space="preserve">In our view SBFD subbands can be configured for each downlink/uplink carrier. </w:t>
      </w:r>
    </w:p>
    <w:p w14:paraId="5DF4DC9F" w14:textId="397A2D49" w:rsidR="00ED4B8C" w:rsidRDefault="00106DA1" w:rsidP="008F16C8">
      <w:pPr>
        <w:spacing w:after="120"/>
        <w:jc w:val="both"/>
        <w:rPr>
          <w:lang w:val="en-US"/>
        </w:rPr>
      </w:pPr>
      <w:r>
        <w:rPr>
          <w:lang w:val="en-US"/>
        </w:rPr>
        <w:t>For SBFD operation it is expected that each configured carrier</w:t>
      </w:r>
      <w:r w:rsidR="00ED4B8C">
        <w:rPr>
          <w:lang w:val="en-US"/>
        </w:rPr>
        <w:t xml:space="preserve">, i.e., each instance of </w:t>
      </w:r>
      <w:r w:rsidR="00ED4B8C" w:rsidRPr="00AF41AF">
        <w:rPr>
          <w:i/>
          <w:iCs/>
          <w:lang w:val="en-US"/>
        </w:rPr>
        <w:t>SCS-SpecificCarrier</w:t>
      </w:r>
      <w:r w:rsidR="00ED4B8C">
        <w:rPr>
          <w:i/>
          <w:iCs/>
          <w:lang w:val="en-US"/>
        </w:rPr>
        <w:t xml:space="preserve"> </w:t>
      </w:r>
      <w:r w:rsidR="00ED4B8C">
        <w:rPr>
          <w:lang w:val="en-US"/>
        </w:rPr>
        <w:t xml:space="preserve">within </w:t>
      </w:r>
      <w:r w:rsidR="00ED4B8C" w:rsidRPr="00170A17">
        <w:rPr>
          <w:i/>
          <w:iCs/>
          <w:lang w:val="en-US"/>
        </w:rPr>
        <w:t>FrequencyInfoDL-SIB</w:t>
      </w:r>
      <w:r>
        <w:rPr>
          <w:lang w:val="en-US"/>
        </w:rPr>
        <w:t>,</w:t>
      </w:r>
      <w:r w:rsidR="00ED4B8C">
        <w:rPr>
          <w:lang w:val="en-US"/>
        </w:rPr>
        <w:t xml:space="preserve"> is </w:t>
      </w:r>
      <w:r w:rsidR="009D78D7">
        <w:rPr>
          <w:lang w:val="en-US"/>
        </w:rPr>
        <w:t>partitioned</w:t>
      </w:r>
      <w:r w:rsidR="00ED4B8C">
        <w:rPr>
          <w:lang w:val="en-US"/>
        </w:rPr>
        <w:t xml:space="preserve"> into subband(s)</w:t>
      </w:r>
      <w:r w:rsidR="009D78D7">
        <w:rPr>
          <w:lang w:val="en-US"/>
        </w:rPr>
        <w:t xml:space="preserve"> </w:t>
      </w:r>
      <w:r w:rsidR="00B73060">
        <w:rPr>
          <w:lang w:val="en-US"/>
        </w:rPr>
        <w:t>–</w:t>
      </w:r>
      <w:r w:rsidR="009D78D7">
        <w:rPr>
          <w:lang w:val="en-US"/>
        </w:rPr>
        <w:t xml:space="preserve"> d</w:t>
      </w:r>
      <w:r w:rsidR="00B73060">
        <w:rPr>
          <w:lang w:val="en-US"/>
        </w:rPr>
        <w:t>uring SBFD symbols</w:t>
      </w:r>
      <w:r w:rsidR="00ED4B8C">
        <w:rPr>
          <w:lang w:val="en-US"/>
        </w:rPr>
        <w:t xml:space="preserve">. </w:t>
      </w:r>
      <w:r w:rsidR="00D94612">
        <w:rPr>
          <w:lang w:val="en-US"/>
        </w:rPr>
        <w:t>As indicated in the scope of the WID [1],</w:t>
      </w:r>
      <w:r w:rsidR="00ED4B8C">
        <w:rPr>
          <w:lang w:val="en-US"/>
        </w:rPr>
        <w:t xml:space="preserve"> knowledge of the frequency location of subbands must be provided to a SBFD-aware</w:t>
      </w:r>
      <w:r w:rsidR="005126FB">
        <w:rPr>
          <w:lang w:val="en-US"/>
        </w:rPr>
        <w:t xml:space="preserve"> UE</w:t>
      </w:r>
      <w:r w:rsidR="00ED4B8C">
        <w:rPr>
          <w:lang w:val="en-US"/>
        </w:rPr>
        <w:t xml:space="preserve">. </w:t>
      </w:r>
      <w:r w:rsidR="00D61099">
        <w:rPr>
          <w:lang w:val="en-US"/>
        </w:rPr>
        <w:t>One way to</w:t>
      </w:r>
      <w:r w:rsidR="00ED4B8C">
        <w:rPr>
          <w:lang w:val="en-US"/>
        </w:rPr>
        <w:t xml:space="preserve"> achieve</w:t>
      </w:r>
      <w:r w:rsidR="00D61099">
        <w:rPr>
          <w:lang w:val="en-US"/>
        </w:rPr>
        <w:t xml:space="preserve"> this is to </w:t>
      </w:r>
      <w:r w:rsidR="00D61099">
        <w:rPr>
          <w:lang w:val="en-US"/>
        </w:rPr>
        <w:lastRenderedPageBreak/>
        <w:t xml:space="preserve">provide a new higher layer parameter (e.g., </w:t>
      </w:r>
      <w:proofErr w:type="spellStart"/>
      <w:r w:rsidR="004671F1" w:rsidRPr="004671F1">
        <w:rPr>
          <w:i/>
          <w:iCs/>
          <w:lang w:val="en-US"/>
        </w:rPr>
        <w:t>downlinkSubband</w:t>
      </w:r>
      <w:proofErr w:type="spellEnd"/>
      <w:r w:rsidR="005528A0">
        <w:rPr>
          <w:i/>
          <w:iCs/>
          <w:lang w:val="en-US"/>
        </w:rPr>
        <w:t xml:space="preserve"> </w:t>
      </w:r>
      <w:r w:rsidR="005528A0">
        <w:rPr>
          <w:lang w:val="en-US"/>
        </w:rPr>
        <w:t xml:space="preserve">and </w:t>
      </w:r>
      <w:proofErr w:type="spellStart"/>
      <w:r w:rsidR="005528A0">
        <w:rPr>
          <w:i/>
          <w:iCs/>
          <w:lang w:val="en-US"/>
        </w:rPr>
        <w:t>up</w:t>
      </w:r>
      <w:r w:rsidR="005528A0" w:rsidRPr="004671F1">
        <w:rPr>
          <w:i/>
          <w:iCs/>
          <w:lang w:val="en-US"/>
        </w:rPr>
        <w:t>linkSubband</w:t>
      </w:r>
      <w:proofErr w:type="spellEnd"/>
      <w:r w:rsidR="00D61099">
        <w:rPr>
          <w:lang w:val="en-US"/>
        </w:rPr>
        <w:t>)</w:t>
      </w:r>
      <w:r w:rsidR="004671F1">
        <w:rPr>
          <w:lang w:val="en-US"/>
        </w:rPr>
        <w:t xml:space="preserve"> within </w:t>
      </w:r>
      <w:r w:rsidR="004671F1" w:rsidRPr="00170A17">
        <w:rPr>
          <w:i/>
          <w:iCs/>
          <w:lang w:val="en-US"/>
        </w:rPr>
        <w:t>FrequencyInfoDL-SIB</w:t>
      </w:r>
      <w:r w:rsidR="004671F1">
        <w:rPr>
          <w:i/>
          <w:iCs/>
          <w:lang w:val="en-US"/>
        </w:rPr>
        <w:t xml:space="preserve"> </w:t>
      </w:r>
      <w:r w:rsidR="004671F1">
        <w:rPr>
          <w:lang w:val="en-US"/>
        </w:rPr>
        <w:t xml:space="preserve">that explicitly indicates the frequency location </w:t>
      </w:r>
      <w:r w:rsidR="005528A0">
        <w:rPr>
          <w:lang w:val="en-US"/>
        </w:rPr>
        <w:t>DL and UL</w:t>
      </w:r>
      <w:r w:rsidR="004671F1">
        <w:rPr>
          <w:lang w:val="en-US"/>
        </w:rPr>
        <w:t xml:space="preserve"> subband. </w:t>
      </w:r>
      <w:r w:rsidR="00ED4B8C">
        <w:t>The new higher layer parameter, for each subband, can be configured a</w:t>
      </w:r>
      <w:r w:rsidR="00970ECB">
        <w:t>s a</w:t>
      </w:r>
      <w:r w:rsidR="00ED4B8C">
        <w:t xml:space="preserve"> single integer value that represents the location and bandwidth of the subband</w:t>
      </w:r>
      <w:r w:rsidR="003E0234">
        <w:t xml:space="preserve"> (SLIV approach)</w:t>
      </w:r>
      <w:r w:rsidR="00ED4B8C">
        <w:t xml:space="preserve">, </w:t>
      </w:r>
      <w:proofErr w:type="gramStart"/>
      <w:r w:rsidR="00ED4B8C">
        <w:t>similar to</w:t>
      </w:r>
      <w:proofErr w:type="gramEnd"/>
      <w:r w:rsidR="00ED4B8C">
        <w:t xml:space="preserve"> the existing </w:t>
      </w:r>
      <w:r w:rsidR="00970ECB">
        <w:t>configuration</w:t>
      </w:r>
      <w:r w:rsidR="00ED4B8C">
        <w:t xml:space="preserve"> for bandwidth part (BWP) indication. </w:t>
      </w:r>
    </w:p>
    <w:p w14:paraId="4CD2E28D" w14:textId="34058DC6" w:rsidR="00ED4B8C" w:rsidRPr="00ED4B8C" w:rsidRDefault="00ED4B8C" w:rsidP="00D3179A">
      <w:pPr>
        <w:spacing w:after="0"/>
        <w:rPr>
          <w:lang w:val="en-US"/>
        </w:rPr>
      </w:pPr>
      <w:bookmarkStart w:id="9" w:name="_Ref159007862"/>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4</w:t>
      </w:r>
      <w:r w:rsidRPr="004F0D45">
        <w:rPr>
          <w:b/>
          <w:bCs/>
          <w:i/>
          <w:iCs/>
        </w:rPr>
        <w:fldChar w:fldCharType="end"/>
      </w:r>
      <w:r w:rsidRPr="004F0D45">
        <w:rPr>
          <w:rFonts w:cstheme="minorHAnsi"/>
          <w:b/>
          <w:bCs/>
          <w:i/>
          <w:iCs/>
        </w:rPr>
        <w:t>:</w:t>
      </w:r>
      <w:r>
        <w:rPr>
          <w:rFonts w:cstheme="minorHAnsi"/>
          <w:b/>
          <w:bCs/>
          <w:i/>
          <w:iCs/>
        </w:rPr>
        <w:t xml:space="preserve"> </w:t>
      </w:r>
      <w:r w:rsidRPr="00422900">
        <w:rPr>
          <w:b/>
          <w:bCs/>
          <w:i/>
          <w:iCs/>
        </w:rPr>
        <w:t>The SBFD subbands are configured per carrier</w:t>
      </w:r>
      <w:bookmarkEnd w:id="9"/>
      <w:r w:rsidR="005126FB">
        <w:rPr>
          <w:b/>
          <w:bCs/>
          <w:i/>
          <w:iCs/>
        </w:rPr>
        <w:t>.</w:t>
      </w:r>
    </w:p>
    <w:p w14:paraId="46719798" w14:textId="066DE60E" w:rsidR="00ED4B8C" w:rsidRDefault="00ED4B8C" w:rsidP="00D3179A">
      <w:pPr>
        <w:spacing w:after="0"/>
        <w:jc w:val="both"/>
        <w:rPr>
          <w:b/>
          <w:bCs/>
          <w:i/>
          <w:iCs/>
        </w:rPr>
      </w:pPr>
      <w:bookmarkStart w:id="10" w:name="_Ref15900786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5</w:t>
      </w:r>
      <w:r w:rsidRPr="004F0D45">
        <w:rPr>
          <w:b/>
          <w:bCs/>
          <w:i/>
          <w:iCs/>
        </w:rPr>
        <w:fldChar w:fldCharType="end"/>
      </w:r>
      <w:r w:rsidRPr="004F0D45">
        <w:rPr>
          <w:rFonts w:cstheme="minorHAnsi"/>
          <w:b/>
          <w:bCs/>
          <w:i/>
          <w:iCs/>
        </w:rPr>
        <w:t>:</w:t>
      </w:r>
      <w:r>
        <w:rPr>
          <w:rFonts w:cstheme="minorHAnsi"/>
          <w:b/>
          <w:bCs/>
          <w:i/>
          <w:iCs/>
        </w:rPr>
        <w:t xml:space="preserve"> </w:t>
      </w:r>
      <w:r>
        <w:rPr>
          <w:b/>
          <w:bCs/>
          <w:i/>
          <w:iCs/>
        </w:rPr>
        <w:t>Provide new higher layer parame</w:t>
      </w:r>
      <w:r w:rsidR="003E0234">
        <w:rPr>
          <w:b/>
          <w:bCs/>
          <w:i/>
          <w:iCs/>
        </w:rPr>
        <w:t>ter</w:t>
      </w:r>
      <w:r w:rsidR="00E3730E">
        <w:rPr>
          <w:b/>
          <w:bCs/>
          <w:i/>
          <w:iCs/>
        </w:rPr>
        <w:t xml:space="preserve"> </w:t>
      </w:r>
      <w:r w:rsidR="00E3730E" w:rsidRPr="00ED4B8C">
        <w:rPr>
          <w:b/>
          <w:bCs/>
          <w:i/>
          <w:iCs/>
        </w:rPr>
        <w:t xml:space="preserve">within </w:t>
      </w:r>
      <w:r w:rsidR="00E3730E" w:rsidRPr="00ED4B8C">
        <w:rPr>
          <w:b/>
          <w:bCs/>
          <w:i/>
          <w:iCs/>
          <w:lang w:val="en-US"/>
        </w:rPr>
        <w:t>FrequencyInfoDL-SIB</w:t>
      </w:r>
      <w:r>
        <w:rPr>
          <w:b/>
          <w:bCs/>
          <w:i/>
          <w:iCs/>
        </w:rPr>
        <w:t xml:space="preserve"> to </w:t>
      </w:r>
      <w:r w:rsidRPr="004D6DBB">
        <w:rPr>
          <w:b/>
          <w:bCs/>
          <w:i/>
          <w:iCs/>
        </w:rPr>
        <w:t xml:space="preserve">indicate </w:t>
      </w:r>
      <w:r>
        <w:rPr>
          <w:b/>
          <w:bCs/>
          <w:i/>
          <w:iCs/>
        </w:rPr>
        <w:t>frequency</w:t>
      </w:r>
      <w:r w:rsidRPr="004D6DBB">
        <w:rPr>
          <w:b/>
          <w:bCs/>
          <w:i/>
          <w:iCs/>
        </w:rPr>
        <w:t xml:space="preserve"> location of SBFD subbands</w:t>
      </w:r>
      <w:r w:rsidR="00967F25">
        <w:rPr>
          <w:b/>
          <w:bCs/>
          <w:i/>
          <w:iCs/>
        </w:rPr>
        <w:t>.</w:t>
      </w:r>
      <w:r w:rsidRPr="004D6DBB">
        <w:rPr>
          <w:b/>
          <w:bCs/>
          <w:i/>
          <w:iCs/>
        </w:rPr>
        <w:t xml:space="preserve"> </w:t>
      </w:r>
      <w:bookmarkEnd w:id="10"/>
      <w:r w:rsidRPr="004D6DBB">
        <w:rPr>
          <w:b/>
          <w:bCs/>
          <w:i/>
          <w:iCs/>
        </w:rPr>
        <w:t xml:space="preserve">  </w:t>
      </w:r>
    </w:p>
    <w:p w14:paraId="180751E8" w14:textId="77777777" w:rsidR="0096311E" w:rsidRDefault="0096311E" w:rsidP="0096311E">
      <w:pPr>
        <w:pStyle w:val="Heading3"/>
      </w:pPr>
      <w:r>
        <w:t xml:space="preserve">Subband Indication for “Flexible” Slots  </w:t>
      </w:r>
    </w:p>
    <w:p w14:paraId="0C44B6EA" w14:textId="40DF4BF4" w:rsidR="0096311E" w:rsidRDefault="0096311E" w:rsidP="0096311E">
      <w:pPr>
        <w:jc w:val="both"/>
        <w:rPr>
          <w:rFonts w:eastAsia="Malgun Gothic"/>
          <w:lang w:val="en-US" w:eastAsia="ko-KR"/>
        </w:rPr>
      </w:pPr>
      <w:r w:rsidRPr="00DB56E6">
        <w:t xml:space="preserve">As </w:t>
      </w:r>
      <w:r>
        <w:t xml:space="preserve">mentioned above, </w:t>
      </w:r>
      <w:r w:rsidR="00E01286">
        <w:rPr>
          <w:rFonts w:eastAsia="Malgun Gothic"/>
          <w:i/>
          <w:iCs/>
          <w:lang w:val="en-US" w:eastAsia="ko-KR"/>
        </w:rPr>
        <w:t>tdd</w:t>
      </w:r>
      <w:r w:rsidR="00E01286" w:rsidRPr="003E0D9F">
        <w:rPr>
          <w:rFonts w:eastAsia="Malgun Gothic"/>
          <w:i/>
          <w:iCs/>
          <w:lang w:val="en-US" w:eastAsia="ko-KR"/>
        </w:rPr>
        <w:t>-UL-DL-Config</w:t>
      </w:r>
      <w:r w:rsidR="00E01286">
        <w:rPr>
          <w:rFonts w:eastAsia="Malgun Gothic"/>
          <w:i/>
          <w:iCs/>
          <w:lang w:val="en-US" w:eastAsia="ko-KR"/>
        </w:rPr>
        <w:t>uration</w:t>
      </w:r>
      <w:r w:rsidR="00E01286" w:rsidRPr="003E0D9F">
        <w:rPr>
          <w:rFonts w:eastAsia="Malgun Gothic"/>
          <w:i/>
          <w:iCs/>
          <w:lang w:val="en-US" w:eastAsia="ko-KR"/>
        </w:rPr>
        <w:t>Common</w:t>
      </w:r>
      <w:r w:rsidR="00E01286">
        <w:rPr>
          <w:rFonts w:eastAsia="Malgun Gothic"/>
          <w:i/>
          <w:iCs/>
          <w:lang w:val="en-US" w:eastAsia="ko-KR"/>
        </w:rPr>
        <w:t xml:space="preserve"> </w:t>
      </w:r>
      <w:r>
        <w:rPr>
          <w:rFonts w:eastAsia="Malgun Gothic"/>
          <w:lang w:val="en-US" w:eastAsia="ko-KR"/>
        </w:rPr>
        <w:t xml:space="preserve">configures some slots/symbols as a “flexible”, i.e., slots/symbols that are not configured as either downlink or uplink. In the scenario where a flexible slot/symbol is indicated as a SBFD slot, and the UE is provided the frequency location of subbands – the UE needs an instruction/rule on how to interpret the slot. </w:t>
      </w:r>
    </w:p>
    <w:p w14:paraId="4329F285" w14:textId="3A58FC3D" w:rsidR="0096311E" w:rsidRPr="00DB56E6" w:rsidRDefault="0096311E" w:rsidP="0096311E">
      <w:pPr>
        <w:jc w:val="both"/>
        <w:rPr>
          <w:rFonts w:eastAsia="Malgun Gothic"/>
          <w:lang w:val="en-US" w:eastAsia="ko-KR"/>
        </w:rPr>
      </w:pPr>
      <w:r>
        <w:rPr>
          <w:rFonts w:eastAsia="Malgun Gothic"/>
          <w:lang w:val="en-US" w:eastAsia="ko-KR"/>
        </w:rPr>
        <w:t xml:space="preserve">Following legacy operation, the UE interprets the slot as flexible and would therefore not assign a transmission direction to the configured subbands. However, the SBFD subband configuration indicates which subbands represents downlink, uplink and/or guardband resources. In our view, if the network indicates a flexible slot as a SBFD slot, the slot partition indication can be considered to override the configuration of a slot/symbol as “flexible”, i.e., the </w:t>
      </w:r>
      <w:r w:rsidRPr="00DB56E6">
        <w:rPr>
          <w:rFonts w:eastAsia="Malgun Gothic"/>
          <w:lang w:val="en-US" w:eastAsia="ko-KR"/>
        </w:rPr>
        <w:t>UE no longer considers a slot/symbol as “flexible” if it is indicated as a SBFD slot/symbol</w:t>
      </w:r>
      <w:r>
        <w:rPr>
          <w:rFonts w:eastAsia="Malgun Gothic"/>
          <w:lang w:val="en-US" w:eastAsia="ko-KR"/>
        </w:rPr>
        <w:t>. This implies that dedicated signaling (</w:t>
      </w:r>
      <w:r w:rsidRPr="00ED27E1">
        <w:rPr>
          <w:rFonts w:eastAsia="Malgun Gothic"/>
          <w:lang w:val="en-US" w:eastAsia="ko-KR"/>
        </w:rPr>
        <w:t xml:space="preserve">using </w:t>
      </w:r>
      <w:r w:rsidRPr="00ED27E1">
        <w:rPr>
          <w:rFonts w:eastAsia="Malgun Gothic"/>
          <w:i/>
          <w:iCs/>
          <w:lang w:eastAsia="ko-KR"/>
        </w:rPr>
        <w:t>tdd-UL-DL-Configuration</w:t>
      </w:r>
      <w:r w:rsidRPr="00ED27E1">
        <w:rPr>
          <w:rFonts w:eastAsia="Malgun Gothic"/>
          <w:i/>
          <w:iCs/>
          <w:lang w:val="en-US" w:eastAsia="ko-KR"/>
        </w:rPr>
        <w:t>Dedicated</w:t>
      </w:r>
      <w:r>
        <w:rPr>
          <w:rFonts w:eastAsia="Malgun Gothic"/>
          <w:lang w:val="en-US" w:eastAsia="ko-KR"/>
        </w:rPr>
        <w:t xml:space="preserve">) cannot be used to reconfigure/change the transmission direction of the configured subbands – as is the case for slots indicated as downlink or uplink by </w:t>
      </w:r>
      <w:r w:rsidR="00E01286">
        <w:rPr>
          <w:rFonts w:eastAsia="Malgun Gothic"/>
          <w:i/>
          <w:iCs/>
          <w:lang w:val="en-US" w:eastAsia="ko-KR"/>
        </w:rPr>
        <w:t>tdd</w:t>
      </w:r>
      <w:r w:rsidR="00E01286" w:rsidRPr="003E0D9F">
        <w:rPr>
          <w:rFonts w:eastAsia="Malgun Gothic"/>
          <w:i/>
          <w:iCs/>
          <w:lang w:val="en-US" w:eastAsia="ko-KR"/>
        </w:rPr>
        <w:t>-UL-DL-Config</w:t>
      </w:r>
      <w:r w:rsidR="00E01286">
        <w:rPr>
          <w:rFonts w:eastAsia="Malgun Gothic"/>
          <w:i/>
          <w:iCs/>
          <w:lang w:val="en-US" w:eastAsia="ko-KR"/>
        </w:rPr>
        <w:t>uration</w:t>
      </w:r>
      <w:r w:rsidR="00E01286" w:rsidRPr="003E0D9F">
        <w:rPr>
          <w:rFonts w:eastAsia="Malgun Gothic"/>
          <w:i/>
          <w:iCs/>
          <w:lang w:val="en-US" w:eastAsia="ko-KR"/>
        </w:rPr>
        <w:t>Common</w:t>
      </w:r>
      <w:r>
        <w:rPr>
          <w:rFonts w:eastAsia="Malgun Gothic"/>
          <w:lang w:val="en-US" w:eastAsia="ko-KR"/>
        </w:rPr>
        <w:t xml:space="preserve">. </w:t>
      </w:r>
    </w:p>
    <w:p w14:paraId="41B0627B" w14:textId="6A248BB9" w:rsidR="00ED4B8C" w:rsidRDefault="0096311E" w:rsidP="00ED4B8C">
      <w:bookmarkStart w:id="11" w:name="_Ref159007876"/>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6</w:t>
      </w:r>
      <w:r w:rsidRPr="004F0D45">
        <w:rPr>
          <w:b/>
          <w:bCs/>
          <w:i/>
          <w:iCs/>
        </w:rPr>
        <w:fldChar w:fldCharType="end"/>
      </w:r>
      <w:r w:rsidRPr="004F0D45">
        <w:rPr>
          <w:rFonts w:cstheme="minorHAnsi"/>
          <w:b/>
          <w:bCs/>
          <w:i/>
          <w:iCs/>
        </w:rPr>
        <w:t>:</w:t>
      </w:r>
      <w:r>
        <w:rPr>
          <w:rFonts w:cstheme="minorHAnsi"/>
          <w:b/>
          <w:bCs/>
          <w:i/>
          <w:iCs/>
        </w:rPr>
        <w:t xml:space="preserve"> </w:t>
      </w:r>
      <w:r w:rsidR="00C24893">
        <w:rPr>
          <w:b/>
          <w:bCs/>
          <w:i/>
          <w:iCs/>
        </w:rPr>
        <w:t>Time</w:t>
      </w:r>
      <w:r>
        <w:rPr>
          <w:b/>
          <w:bCs/>
          <w:i/>
          <w:iCs/>
        </w:rPr>
        <w:t>/frequency indication of SBFD subbands override</w:t>
      </w:r>
      <w:r w:rsidR="00E35B5A">
        <w:rPr>
          <w:b/>
          <w:bCs/>
          <w:i/>
          <w:iCs/>
        </w:rPr>
        <w:t>s</w:t>
      </w:r>
      <w:r>
        <w:rPr>
          <w:b/>
          <w:bCs/>
          <w:i/>
          <w:iCs/>
        </w:rPr>
        <w:t xml:space="preserve"> flexible indication by TDD-UL-DL-ConfigCommon, i.e., a flexible symbol that has been partitioned </w:t>
      </w:r>
      <w:r w:rsidR="00C24893">
        <w:rPr>
          <w:b/>
          <w:bCs/>
          <w:i/>
          <w:iCs/>
        </w:rPr>
        <w:t xml:space="preserve">is </w:t>
      </w:r>
      <w:r>
        <w:rPr>
          <w:b/>
          <w:bCs/>
          <w:i/>
          <w:iCs/>
        </w:rPr>
        <w:t>not considered as flexible anymore</w:t>
      </w:r>
      <w:bookmarkEnd w:id="11"/>
      <w:r w:rsidR="00E35B5A">
        <w:rPr>
          <w:b/>
          <w:bCs/>
          <w:i/>
          <w:iCs/>
        </w:rPr>
        <w:t>.</w:t>
      </w:r>
    </w:p>
    <w:p w14:paraId="39126053" w14:textId="77777777" w:rsidR="00885B2D" w:rsidRDefault="00885B2D" w:rsidP="00885B2D">
      <w:pPr>
        <w:pStyle w:val="Heading2"/>
        <w:jc w:val="both"/>
      </w:pPr>
      <w:r>
        <w:t xml:space="preserve">TX/RX/Measurement Behaviour for SBFD-aware UE </w:t>
      </w:r>
    </w:p>
    <w:p w14:paraId="11063515" w14:textId="1B737B63" w:rsidR="00885B2D" w:rsidRPr="00F1031E" w:rsidRDefault="00885B2D" w:rsidP="00885B2D">
      <w:pPr>
        <w:jc w:val="both"/>
      </w:pPr>
      <w:r>
        <w:t>In this section we discuss</w:t>
      </w:r>
      <w:r w:rsidRPr="003E0D9F">
        <w:rPr>
          <w:rFonts w:eastAsia="Malgun Gothic"/>
          <w:lang w:val="en-US" w:eastAsia="ko-KR"/>
        </w:rPr>
        <w:t xml:space="preserve"> transmission, reception and measurement behavior and procedures for SBFD</w:t>
      </w:r>
      <w:r w:rsidR="007B4834">
        <w:rPr>
          <w:rFonts w:eastAsia="Malgun Gothic"/>
          <w:lang w:val="en-US" w:eastAsia="ko-KR"/>
        </w:rPr>
        <w:t>-</w:t>
      </w:r>
      <w:r>
        <w:rPr>
          <w:rFonts w:eastAsia="Malgun Gothic"/>
          <w:lang w:val="en-US" w:eastAsia="ko-KR"/>
        </w:rPr>
        <w:t>aware</w:t>
      </w:r>
      <w:r w:rsidRPr="003E0D9F">
        <w:rPr>
          <w:rFonts w:eastAsia="Malgun Gothic"/>
          <w:lang w:val="en-US" w:eastAsia="ko-KR"/>
        </w:rPr>
        <w:t xml:space="preserve"> UE</w:t>
      </w:r>
    </w:p>
    <w:p w14:paraId="1D299712" w14:textId="77777777" w:rsidR="00885B2D" w:rsidRDefault="00885B2D" w:rsidP="00885B2D">
      <w:pPr>
        <w:pStyle w:val="Heading3"/>
        <w:jc w:val="both"/>
      </w:pPr>
      <w:r>
        <w:t xml:space="preserve">Transmission/Reception Behaviour on SBFD Subbands </w:t>
      </w:r>
    </w:p>
    <w:p w14:paraId="5F955099" w14:textId="6803A848" w:rsidR="00885B2D" w:rsidRDefault="00885B2D" w:rsidP="00885B2D">
      <w:pPr>
        <w:spacing w:after="160" w:line="256" w:lineRule="auto"/>
        <w:ind w:right="-99"/>
        <w:jc w:val="both"/>
        <w:rPr>
          <w:rFonts w:eastAsia="Malgun Gothic"/>
          <w:lang w:val="en-US" w:eastAsia="ko-KR"/>
        </w:rPr>
      </w:pPr>
      <w:r>
        <w:t>As stated in the scope of the WID [1], for SBFD operation in a slot defined as downlink and/or flexible by</w:t>
      </w:r>
      <w:r w:rsidR="00E01286">
        <w:t xml:space="preserve"> </w:t>
      </w:r>
      <w:r w:rsidR="00E01286">
        <w:rPr>
          <w:rFonts w:eastAsia="Malgun Gothic"/>
          <w:i/>
          <w:iCs/>
          <w:lang w:val="en-US" w:eastAsia="ko-KR"/>
        </w:rPr>
        <w:t>tdd</w:t>
      </w:r>
      <w:r w:rsidR="00E01286" w:rsidRPr="003E0D9F">
        <w:rPr>
          <w:rFonts w:eastAsia="Malgun Gothic"/>
          <w:i/>
          <w:iCs/>
          <w:lang w:val="en-US" w:eastAsia="ko-KR"/>
        </w:rPr>
        <w:t>-UL-DL-Config</w:t>
      </w:r>
      <w:r w:rsidR="00E01286">
        <w:rPr>
          <w:rFonts w:eastAsia="Malgun Gothic"/>
          <w:i/>
          <w:iCs/>
          <w:lang w:val="en-US" w:eastAsia="ko-KR"/>
        </w:rPr>
        <w:t>uration</w:t>
      </w:r>
      <w:r w:rsidR="00E01286" w:rsidRPr="003E0D9F">
        <w:rPr>
          <w:rFonts w:eastAsia="Malgun Gothic"/>
          <w:i/>
          <w:iCs/>
          <w:lang w:val="en-US" w:eastAsia="ko-KR"/>
        </w:rPr>
        <w:t>Commo</w:t>
      </w:r>
      <w:r w:rsidR="00E01286">
        <w:rPr>
          <w:rFonts w:eastAsia="Malgun Gothic"/>
          <w:i/>
          <w:iCs/>
          <w:lang w:val="en-US" w:eastAsia="ko-KR"/>
        </w:rPr>
        <w:t>n</w:t>
      </w:r>
      <w:r>
        <w:rPr>
          <w:rFonts w:eastAsia="Malgun Gothic"/>
          <w:i/>
          <w:iCs/>
          <w:lang w:val="en-US" w:eastAsia="ko-KR"/>
        </w:rPr>
        <w:t xml:space="preserve">, </w:t>
      </w:r>
      <w:r>
        <w:rPr>
          <w:rFonts w:eastAsia="Malgun Gothic"/>
          <w:lang w:val="en-US" w:eastAsia="ko-KR"/>
        </w:rPr>
        <w:t>uplink</w:t>
      </w:r>
      <w:r w:rsidRPr="003E0D9F">
        <w:rPr>
          <w:rFonts w:eastAsia="Malgun Gothic"/>
          <w:lang w:val="en-US" w:eastAsia="ko-KR"/>
        </w:rPr>
        <w:t xml:space="preserve"> transmission</w:t>
      </w:r>
      <w:r>
        <w:rPr>
          <w:rFonts w:eastAsia="Malgun Gothic"/>
          <w:lang w:val="en-US" w:eastAsia="ko-KR"/>
        </w:rPr>
        <w:t xml:space="preserve"> is</w:t>
      </w:r>
      <w:r w:rsidRPr="003E0D9F">
        <w:rPr>
          <w:rFonts w:eastAsia="Malgun Gothic"/>
          <w:lang w:val="en-US" w:eastAsia="ko-KR"/>
        </w:rPr>
        <w:t xml:space="preserve"> within </w:t>
      </w:r>
      <w:r>
        <w:rPr>
          <w:rFonts w:eastAsia="Malgun Gothic"/>
          <w:lang w:val="en-US" w:eastAsia="ko-KR"/>
        </w:rPr>
        <w:t>uplink</w:t>
      </w:r>
      <w:r w:rsidRPr="003E0D9F">
        <w:rPr>
          <w:rFonts w:eastAsia="Malgun Gothic"/>
          <w:lang w:val="en-US" w:eastAsia="ko-KR"/>
        </w:rPr>
        <w:t xml:space="preserve"> subband only</w:t>
      </w:r>
      <w:r>
        <w:rPr>
          <w:rFonts w:eastAsia="Malgun Gothic"/>
          <w:lang w:val="en-US" w:eastAsia="ko-KR"/>
        </w:rPr>
        <w:t xml:space="preserve"> whereas downlink</w:t>
      </w:r>
      <w:r w:rsidRPr="003E0D9F">
        <w:rPr>
          <w:rFonts w:eastAsia="Malgun Gothic"/>
          <w:lang w:val="en-US" w:eastAsia="ko-KR"/>
        </w:rPr>
        <w:t xml:space="preserve"> reception</w:t>
      </w:r>
      <w:r>
        <w:rPr>
          <w:rFonts w:eastAsia="Malgun Gothic"/>
          <w:lang w:val="en-US" w:eastAsia="ko-KR"/>
        </w:rPr>
        <w:t xml:space="preserve"> is</w:t>
      </w:r>
      <w:r w:rsidRPr="003E0D9F">
        <w:rPr>
          <w:rFonts w:eastAsia="Malgun Gothic"/>
          <w:lang w:val="en-US" w:eastAsia="ko-KR"/>
        </w:rPr>
        <w:t xml:space="preserve"> within </w:t>
      </w:r>
      <w:r>
        <w:rPr>
          <w:rFonts w:eastAsia="Malgun Gothic"/>
          <w:lang w:val="en-US" w:eastAsia="ko-KR"/>
        </w:rPr>
        <w:t>downlink</w:t>
      </w:r>
      <w:r w:rsidRPr="003E0D9F">
        <w:rPr>
          <w:rFonts w:eastAsia="Malgun Gothic"/>
          <w:lang w:val="en-US" w:eastAsia="ko-KR"/>
        </w:rPr>
        <w:t xml:space="preserve"> subband(s) only</w:t>
      </w:r>
      <w:r>
        <w:rPr>
          <w:rFonts w:eastAsia="Malgun Gothic"/>
          <w:lang w:val="en-US" w:eastAsia="ko-KR"/>
        </w:rPr>
        <w:t xml:space="preserve">. The only exception is CLI measurement, which can be allowed outside downlink subbands. For dynamic/aperiodic resource allocation, gNB has the flexibility to ensure that any scheduled uplink or downlink resources is confined within the uplink or downlink subbands, respectively. However, for configured/periodic/semi-persistent resource allocation, the transmission periodicity can be such that </w:t>
      </w:r>
      <w:r w:rsidR="000228C3">
        <w:rPr>
          <w:rFonts w:eastAsia="Malgun Gothic"/>
          <w:lang w:val="en-US" w:eastAsia="ko-KR"/>
        </w:rPr>
        <w:t xml:space="preserve">allocated </w:t>
      </w:r>
      <w:r>
        <w:rPr>
          <w:rFonts w:eastAsia="Malgun Gothic"/>
          <w:lang w:val="en-US" w:eastAsia="ko-KR"/>
        </w:rPr>
        <w:t>resource</w:t>
      </w:r>
      <w:r w:rsidR="000228C3">
        <w:rPr>
          <w:rFonts w:eastAsia="Malgun Gothic"/>
          <w:lang w:val="en-US" w:eastAsia="ko-KR"/>
        </w:rPr>
        <w:t>s</w:t>
      </w:r>
      <w:r>
        <w:rPr>
          <w:rFonts w:eastAsia="Malgun Gothic"/>
          <w:lang w:val="en-US" w:eastAsia="ko-KR"/>
        </w:rPr>
        <w:t xml:space="preserve"> fall outside the corresponding subband.    </w:t>
      </w:r>
    </w:p>
    <w:p w14:paraId="7E41ED39" w14:textId="0A54DF86" w:rsidR="00885B2D" w:rsidRDefault="00885B2D" w:rsidP="00885B2D">
      <w:pPr>
        <w:spacing w:after="160" w:line="256" w:lineRule="auto"/>
        <w:ind w:right="-99"/>
        <w:jc w:val="both"/>
        <w:rPr>
          <w:rFonts w:eastAsia="Malgun Gothic"/>
          <w:lang w:val="en-US" w:eastAsia="ko-KR"/>
        </w:rPr>
      </w:pPr>
      <w:r>
        <w:rPr>
          <w:rFonts w:eastAsia="Malgun Gothic"/>
          <w:lang w:val="en-US" w:eastAsia="ko-KR"/>
        </w:rPr>
        <w:t>To ensure that uplink transmission</w:t>
      </w:r>
      <w:r w:rsidR="00236065">
        <w:rPr>
          <w:rFonts w:eastAsia="Malgun Gothic"/>
          <w:lang w:val="en-US" w:eastAsia="ko-KR"/>
        </w:rPr>
        <w:t>s</w:t>
      </w:r>
      <w:r>
        <w:rPr>
          <w:rFonts w:eastAsia="Malgun Gothic"/>
          <w:lang w:val="en-US" w:eastAsia="ko-KR"/>
        </w:rPr>
        <w:t xml:space="preserve"> and downlink reception</w:t>
      </w:r>
      <w:r w:rsidR="00236065">
        <w:rPr>
          <w:rFonts w:eastAsia="Malgun Gothic"/>
          <w:lang w:val="en-US" w:eastAsia="ko-KR"/>
        </w:rPr>
        <w:t>s</w:t>
      </w:r>
      <w:r>
        <w:rPr>
          <w:rFonts w:eastAsia="Malgun Gothic"/>
          <w:lang w:val="en-US" w:eastAsia="ko-KR"/>
        </w:rPr>
        <w:t xml:space="preserve"> </w:t>
      </w:r>
      <w:r w:rsidR="00236065">
        <w:rPr>
          <w:rFonts w:eastAsia="Malgun Gothic"/>
          <w:lang w:val="en-US" w:eastAsia="ko-KR"/>
        </w:rPr>
        <w:t>are</w:t>
      </w:r>
      <w:r>
        <w:rPr>
          <w:rFonts w:eastAsia="Malgun Gothic"/>
          <w:lang w:val="en-US" w:eastAsia="ko-KR"/>
        </w:rPr>
        <w:t xml:space="preserve"> always confined within uplink and downlink subbands, new frequency domain validation rules must be defined to restrict valid uplink/downlink resource allocation to be within uplink/downlink subbands. In other words, the UE considers uplink/downlink resource allocation that fall outside uplink/downlink subbands as invalid allocation. </w:t>
      </w:r>
    </w:p>
    <w:p w14:paraId="42369646" w14:textId="77777777" w:rsidR="00885B2D" w:rsidRDefault="00885B2D" w:rsidP="00DA5793">
      <w:pPr>
        <w:spacing w:after="0" w:line="256" w:lineRule="auto"/>
        <w:ind w:right="-99"/>
        <w:jc w:val="both"/>
        <w:rPr>
          <w:rFonts w:eastAsia="Malgun Gothic"/>
          <w:lang w:val="en-US" w:eastAsia="ko-KR"/>
        </w:rPr>
      </w:pPr>
      <w:r>
        <w:rPr>
          <w:rFonts w:eastAsia="Malgun Gothic"/>
          <w:lang w:val="en-US" w:eastAsia="ko-KR"/>
        </w:rPr>
        <w:t xml:space="preserve">In the case where a downlink (uplink) resource allocation overlaps fully with uplink (downlink) subband, the UE drops the entire resource allocation (e.g., UE considers this as an error case). In the case where a downlink (uplink) resource allocation overlaps partially with uplink (downlink) subband, the UE can be configured to:  </w:t>
      </w:r>
    </w:p>
    <w:p w14:paraId="432FCAEE" w14:textId="77777777" w:rsidR="00885B2D" w:rsidRPr="00885B2D" w:rsidRDefault="00885B2D" w:rsidP="00DA5793">
      <w:pPr>
        <w:pStyle w:val="ListParagraph"/>
        <w:numPr>
          <w:ilvl w:val="0"/>
          <w:numId w:val="45"/>
        </w:numPr>
        <w:spacing w:line="257" w:lineRule="auto"/>
        <w:ind w:left="714" w:right="-96" w:hanging="357"/>
        <w:contextualSpacing w:val="0"/>
        <w:jc w:val="both"/>
        <w:rPr>
          <w:rFonts w:eastAsia="Malgun Gothic"/>
          <w:sz w:val="20"/>
          <w:szCs w:val="20"/>
          <w:lang w:val="en-US" w:eastAsia="ko-KR"/>
        </w:rPr>
      </w:pPr>
      <w:r w:rsidRPr="00885B2D">
        <w:rPr>
          <w:rFonts w:eastAsia="Malgun Gothic"/>
          <w:sz w:val="20"/>
          <w:szCs w:val="20"/>
          <w:lang w:val="en-US" w:eastAsia="ko-KR"/>
        </w:rPr>
        <w:t>Transmit/receive only on the portion of the allocated resources that fall within the uplink/downlink subbands, i.e., partial allocation, or</w:t>
      </w:r>
    </w:p>
    <w:p w14:paraId="1B88DB96" w14:textId="77777777" w:rsidR="00885B2D" w:rsidRPr="00885B2D" w:rsidRDefault="00885B2D" w:rsidP="00DA5793">
      <w:pPr>
        <w:pStyle w:val="ListParagraph"/>
        <w:numPr>
          <w:ilvl w:val="0"/>
          <w:numId w:val="45"/>
        </w:numPr>
        <w:spacing w:after="120" w:line="257" w:lineRule="auto"/>
        <w:ind w:left="714" w:right="-96" w:hanging="357"/>
        <w:contextualSpacing w:val="0"/>
        <w:jc w:val="both"/>
        <w:rPr>
          <w:rFonts w:eastAsia="Malgun Gothic"/>
          <w:sz w:val="20"/>
          <w:szCs w:val="20"/>
          <w:lang w:val="en-US" w:eastAsia="ko-KR"/>
        </w:rPr>
      </w:pPr>
      <w:r w:rsidRPr="00885B2D">
        <w:rPr>
          <w:rFonts w:eastAsia="Malgun Gothic"/>
          <w:sz w:val="20"/>
          <w:szCs w:val="20"/>
          <w:lang w:val="en-US" w:eastAsia="ko-KR"/>
        </w:rPr>
        <w:t xml:space="preserve">Drop the entire resource allocation </w:t>
      </w:r>
    </w:p>
    <w:p w14:paraId="6C5CDC23" w14:textId="3BDE5F3E" w:rsidR="00885B2D" w:rsidRPr="00C24893" w:rsidRDefault="00885B2D" w:rsidP="00DA5793">
      <w:pPr>
        <w:spacing w:after="120" w:line="256" w:lineRule="auto"/>
        <w:ind w:right="-99"/>
        <w:jc w:val="both"/>
        <w:rPr>
          <w:rFonts w:eastAsia="Malgun Gothic"/>
          <w:lang w:eastAsia="ko-KR"/>
        </w:rPr>
      </w:pPr>
      <w:r w:rsidRPr="00C24893">
        <w:rPr>
          <w:rFonts w:eastAsia="Malgun Gothic"/>
          <w:lang w:eastAsia="ko-KR"/>
        </w:rPr>
        <w:t>By follow</w:t>
      </w:r>
      <w:r w:rsidR="00C24893" w:rsidRPr="00C24893">
        <w:rPr>
          <w:rFonts w:eastAsia="Malgun Gothic"/>
          <w:lang w:eastAsia="ko-KR"/>
        </w:rPr>
        <w:t>ing</w:t>
      </w:r>
      <w:r w:rsidRPr="00C24893">
        <w:rPr>
          <w:rFonts w:eastAsia="Malgun Gothic"/>
          <w:lang w:eastAsia="ko-KR"/>
        </w:rPr>
        <w:t xml:space="preserve"> the above rules, uplink transmission and downlink reception of a SBFD-aware UE can be confined within uplink and downlink subbands. </w:t>
      </w:r>
    </w:p>
    <w:p w14:paraId="240AB95B" w14:textId="7F9768E4" w:rsidR="00885B2D" w:rsidRDefault="00885B2D" w:rsidP="00885B2D">
      <w:pPr>
        <w:spacing w:after="0"/>
        <w:jc w:val="both"/>
        <w:rPr>
          <w:b/>
          <w:bCs/>
          <w:i/>
          <w:iCs/>
        </w:rPr>
      </w:pPr>
      <w:bookmarkStart w:id="12" w:name="_Ref159056589"/>
      <w:bookmarkStart w:id="13" w:name="_Ref159007882"/>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7</w:t>
      </w:r>
      <w:r w:rsidRPr="004F0D45">
        <w:rPr>
          <w:b/>
          <w:bCs/>
          <w:i/>
          <w:iCs/>
        </w:rPr>
        <w:fldChar w:fldCharType="end"/>
      </w:r>
      <w:bookmarkEnd w:id="12"/>
      <w:r w:rsidRPr="004F0D45">
        <w:rPr>
          <w:rFonts w:cstheme="minorHAnsi"/>
          <w:b/>
          <w:bCs/>
          <w:i/>
          <w:iCs/>
        </w:rPr>
        <w:t>:</w:t>
      </w:r>
      <w:r>
        <w:rPr>
          <w:rFonts w:cstheme="minorHAnsi"/>
          <w:b/>
          <w:bCs/>
          <w:i/>
          <w:iCs/>
        </w:rPr>
        <w:t xml:space="preserve"> </w:t>
      </w:r>
      <w:r>
        <w:rPr>
          <w:b/>
          <w:bCs/>
          <w:i/>
          <w:iCs/>
        </w:rPr>
        <w:t xml:space="preserve">Define new frequency domain validation rules to ensure that UL transmissions and DL receptions </w:t>
      </w:r>
      <w:r w:rsidR="00366B9E">
        <w:rPr>
          <w:b/>
          <w:bCs/>
          <w:i/>
          <w:iCs/>
        </w:rPr>
        <w:t>are</w:t>
      </w:r>
      <w:r>
        <w:rPr>
          <w:b/>
          <w:bCs/>
          <w:i/>
          <w:iCs/>
        </w:rPr>
        <w:t xml:space="preserve"> confined within uplink and downlink subbands, </w:t>
      </w:r>
      <w:bookmarkEnd w:id="13"/>
      <w:r w:rsidR="00E01286">
        <w:rPr>
          <w:b/>
          <w:bCs/>
          <w:i/>
          <w:iCs/>
        </w:rPr>
        <w:t>respectively.</w:t>
      </w:r>
    </w:p>
    <w:p w14:paraId="4A759BDE" w14:textId="14587930" w:rsidR="00885B2D" w:rsidRDefault="00885B2D" w:rsidP="00885B2D">
      <w:pPr>
        <w:pStyle w:val="ListParagraph"/>
        <w:numPr>
          <w:ilvl w:val="0"/>
          <w:numId w:val="44"/>
        </w:numPr>
        <w:ind w:hanging="357"/>
        <w:contextualSpacing w:val="0"/>
        <w:jc w:val="both"/>
        <w:rPr>
          <w:b/>
          <w:bCs/>
          <w:i/>
          <w:iCs/>
          <w:sz w:val="20"/>
          <w:szCs w:val="20"/>
        </w:rPr>
      </w:pPr>
      <w:r w:rsidRPr="00366B9E">
        <w:rPr>
          <w:b/>
          <w:bCs/>
          <w:i/>
          <w:iCs/>
          <w:sz w:val="20"/>
          <w:szCs w:val="20"/>
        </w:rPr>
        <w:t>Rule 1:</w:t>
      </w:r>
      <w:r w:rsidRPr="00885B2D">
        <w:rPr>
          <w:b/>
          <w:bCs/>
          <w:i/>
          <w:iCs/>
          <w:sz w:val="20"/>
          <w:szCs w:val="20"/>
        </w:rPr>
        <w:t xml:space="preserve"> </w:t>
      </w:r>
      <w:bookmarkStart w:id="14" w:name="_Hlk159235711"/>
      <w:r w:rsidR="00682C2D">
        <w:rPr>
          <w:b/>
          <w:bCs/>
          <w:i/>
          <w:iCs/>
          <w:sz w:val="20"/>
          <w:szCs w:val="20"/>
        </w:rPr>
        <w:t>The part of UL</w:t>
      </w:r>
      <w:r w:rsidR="00682C2D" w:rsidRPr="00885B2D">
        <w:rPr>
          <w:b/>
          <w:bCs/>
          <w:i/>
          <w:iCs/>
          <w:sz w:val="20"/>
          <w:szCs w:val="20"/>
        </w:rPr>
        <w:t xml:space="preserve"> </w:t>
      </w:r>
      <w:r w:rsidRPr="00366B9E">
        <w:rPr>
          <w:b/>
          <w:bCs/>
          <w:i/>
          <w:iCs/>
          <w:sz w:val="20"/>
          <w:szCs w:val="20"/>
        </w:rPr>
        <w:t>resources</w:t>
      </w:r>
      <w:r w:rsidR="00682C2D">
        <w:rPr>
          <w:b/>
          <w:bCs/>
          <w:i/>
          <w:iCs/>
          <w:sz w:val="20"/>
          <w:szCs w:val="20"/>
        </w:rPr>
        <w:t xml:space="preserve"> allocation</w:t>
      </w:r>
      <w:r w:rsidRPr="00885B2D">
        <w:rPr>
          <w:b/>
          <w:bCs/>
          <w:i/>
          <w:iCs/>
          <w:sz w:val="20"/>
          <w:szCs w:val="20"/>
        </w:rPr>
        <w:t xml:space="preserve"> on a SBFD slot/symbol </w:t>
      </w:r>
      <w:r w:rsidR="00682C2D">
        <w:rPr>
          <w:b/>
          <w:bCs/>
          <w:i/>
          <w:iCs/>
          <w:sz w:val="20"/>
          <w:szCs w:val="20"/>
        </w:rPr>
        <w:t xml:space="preserve">that falls outside outside the UL subband </w:t>
      </w:r>
      <w:r w:rsidRPr="00885B2D">
        <w:rPr>
          <w:b/>
          <w:bCs/>
          <w:i/>
          <w:iCs/>
          <w:sz w:val="20"/>
          <w:szCs w:val="20"/>
        </w:rPr>
        <w:t xml:space="preserve">is </w:t>
      </w:r>
      <w:r w:rsidR="00682C2D">
        <w:rPr>
          <w:b/>
          <w:bCs/>
          <w:i/>
          <w:iCs/>
          <w:sz w:val="20"/>
          <w:szCs w:val="20"/>
        </w:rPr>
        <w:t>considered as in</w:t>
      </w:r>
      <w:r w:rsidRPr="00885B2D">
        <w:rPr>
          <w:b/>
          <w:bCs/>
          <w:i/>
          <w:iCs/>
          <w:sz w:val="20"/>
          <w:szCs w:val="20"/>
        </w:rPr>
        <w:t xml:space="preserve">valid </w:t>
      </w:r>
      <w:r w:rsidR="00682C2D">
        <w:rPr>
          <w:b/>
          <w:bCs/>
          <w:i/>
          <w:iCs/>
          <w:sz w:val="20"/>
          <w:szCs w:val="20"/>
        </w:rPr>
        <w:t>by the UE</w:t>
      </w:r>
      <w:bookmarkEnd w:id="14"/>
    </w:p>
    <w:p w14:paraId="32EC6F25" w14:textId="5BDFCF01" w:rsidR="00682C2D" w:rsidRPr="00885B2D" w:rsidRDefault="00682C2D" w:rsidP="00E01286">
      <w:pPr>
        <w:pStyle w:val="ListParagraph"/>
        <w:numPr>
          <w:ilvl w:val="1"/>
          <w:numId w:val="44"/>
        </w:numPr>
        <w:contextualSpacing w:val="0"/>
        <w:jc w:val="both"/>
        <w:rPr>
          <w:b/>
          <w:bCs/>
          <w:i/>
          <w:iCs/>
          <w:sz w:val="20"/>
          <w:szCs w:val="20"/>
        </w:rPr>
      </w:pPr>
      <w:r>
        <w:rPr>
          <w:b/>
          <w:bCs/>
          <w:i/>
          <w:iCs/>
          <w:sz w:val="20"/>
          <w:szCs w:val="20"/>
        </w:rPr>
        <w:t>FFS for SRS tranmissions on guardbands</w:t>
      </w:r>
    </w:p>
    <w:p w14:paraId="1CE97C40" w14:textId="4F71463F" w:rsidR="00885B2D" w:rsidRPr="00885B2D" w:rsidRDefault="00885B2D" w:rsidP="00885B2D">
      <w:pPr>
        <w:pStyle w:val="ListParagraph"/>
        <w:numPr>
          <w:ilvl w:val="0"/>
          <w:numId w:val="44"/>
        </w:numPr>
        <w:ind w:hanging="357"/>
        <w:contextualSpacing w:val="0"/>
        <w:jc w:val="both"/>
        <w:rPr>
          <w:b/>
          <w:bCs/>
          <w:i/>
          <w:iCs/>
          <w:sz w:val="20"/>
          <w:szCs w:val="20"/>
        </w:rPr>
      </w:pPr>
      <w:r w:rsidRPr="00366B9E">
        <w:rPr>
          <w:b/>
          <w:bCs/>
          <w:i/>
          <w:iCs/>
          <w:sz w:val="20"/>
          <w:szCs w:val="20"/>
        </w:rPr>
        <w:t>Rule 2:</w:t>
      </w:r>
      <w:r w:rsidRPr="00885B2D">
        <w:rPr>
          <w:b/>
          <w:bCs/>
          <w:i/>
          <w:iCs/>
          <w:sz w:val="20"/>
          <w:szCs w:val="20"/>
        </w:rPr>
        <w:t xml:space="preserve"> </w:t>
      </w:r>
      <w:r w:rsidR="00682C2D" w:rsidRPr="00682C2D">
        <w:rPr>
          <w:b/>
          <w:bCs/>
          <w:i/>
          <w:iCs/>
          <w:sz w:val="20"/>
          <w:szCs w:val="20"/>
        </w:rPr>
        <w:t xml:space="preserve">The part of </w:t>
      </w:r>
      <w:r w:rsidR="00682C2D">
        <w:rPr>
          <w:b/>
          <w:bCs/>
          <w:i/>
          <w:iCs/>
          <w:sz w:val="20"/>
          <w:szCs w:val="20"/>
        </w:rPr>
        <w:t>D</w:t>
      </w:r>
      <w:r w:rsidR="00682C2D" w:rsidRPr="00682C2D">
        <w:rPr>
          <w:b/>
          <w:bCs/>
          <w:i/>
          <w:iCs/>
          <w:sz w:val="20"/>
          <w:szCs w:val="20"/>
        </w:rPr>
        <w:t xml:space="preserve">L resources allocation on a SBFD slot/symbol that falls outside outside the </w:t>
      </w:r>
      <w:r w:rsidR="00682C2D">
        <w:rPr>
          <w:b/>
          <w:bCs/>
          <w:i/>
          <w:iCs/>
          <w:sz w:val="20"/>
          <w:szCs w:val="20"/>
        </w:rPr>
        <w:t>D</w:t>
      </w:r>
      <w:r w:rsidR="00682C2D" w:rsidRPr="00682C2D">
        <w:rPr>
          <w:b/>
          <w:bCs/>
          <w:i/>
          <w:iCs/>
          <w:sz w:val="20"/>
          <w:szCs w:val="20"/>
        </w:rPr>
        <w:t>L subband is considered as invalid by the UE</w:t>
      </w:r>
      <w:r w:rsidRPr="00885B2D">
        <w:rPr>
          <w:b/>
          <w:bCs/>
          <w:i/>
          <w:iCs/>
          <w:sz w:val="20"/>
          <w:szCs w:val="20"/>
        </w:rPr>
        <w:t xml:space="preserve">. </w:t>
      </w:r>
    </w:p>
    <w:p w14:paraId="1AA0C0A2" w14:textId="576B15FF" w:rsidR="00885B2D" w:rsidRPr="00B26586" w:rsidRDefault="00885B2D" w:rsidP="00B26586">
      <w:pPr>
        <w:pStyle w:val="ListParagraph"/>
        <w:numPr>
          <w:ilvl w:val="1"/>
          <w:numId w:val="44"/>
        </w:numPr>
        <w:ind w:hanging="357"/>
        <w:contextualSpacing w:val="0"/>
        <w:jc w:val="both"/>
        <w:rPr>
          <w:b/>
          <w:bCs/>
          <w:i/>
          <w:iCs/>
          <w:sz w:val="20"/>
          <w:szCs w:val="20"/>
        </w:rPr>
      </w:pPr>
      <w:r w:rsidRPr="00885B2D">
        <w:rPr>
          <w:b/>
          <w:bCs/>
          <w:i/>
          <w:iCs/>
          <w:sz w:val="20"/>
          <w:szCs w:val="20"/>
        </w:rPr>
        <w:lastRenderedPageBreak/>
        <w:t>Resource allocation for CLI measurement is valid even if it falls outside the downlink subbands</w:t>
      </w:r>
      <w:r w:rsidR="00967F25">
        <w:rPr>
          <w:b/>
          <w:bCs/>
          <w:i/>
          <w:iCs/>
          <w:sz w:val="20"/>
          <w:szCs w:val="20"/>
        </w:rPr>
        <w:t>.</w:t>
      </w:r>
    </w:p>
    <w:p w14:paraId="1B25C8C0" w14:textId="77777777" w:rsidR="00885B2D" w:rsidRDefault="00885B2D" w:rsidP="00885B2D">
      <w:pPr>
        <w:pStyle w:val="Heading3"/>
        <w:jc w:val="both"/>
      </w:pPr>
      <w:r>
        <w:t xml:space="preserve">FDRA Enhancements in SBFD Symbols </w:t>
      </w:r>
    </w:p>
    <w:p w14:paraId="39A3C883" w14:textId="77777777" w:rsidR="00885B2D" w:rsidRDefault="00885B2D" w:rsidP="00885B2D">
      <w:pPr>
        <w:pStyle w:val="Heading4"/>
      </w:pPr>
      <w:r>
        <w:t xml:space="preserve">PDSCH Resource Allocation   </w:t>
      </w:r>
    </w:p>
    <w:p w14:paraId="027E11F2" w14:textId="65F5A7AE" w:rsidR="00ED4B8C" w:rsidRDefault="00885B2D" w:rsidP="00AB2D29">
      <w:pPr>
        <w:spacing w:after="0"/>
        <w:jc w:val="both"/>
        <w:textAlignment w:val="center"/>
        <w:rPr>
          <w:rFonts w:eastAsia="Times New Roman"/>
          <w:lang w:eastAsia="zh-CN"/>
        </w:rPr>
      </w:pPr>
      <w:r>
        <w:t xml:space="preserve">SBFD symbols may consist of non-contiguous downlink subbands. FDRA Type-0 readily supports non-contiguous RB allocations and can directly be used for resource allocation across non-contiguous downlink subbands. The only issue that can arise when using FDRA Type-0 for resource allocation on SBFD symbols is the potential misalignment between SBFD subbands and RBGs. However, it has been agreed by RAN1 that when such a scenario occurs, the </w:t>
      </w:r>
      <w:r w:rsidRPr="00857066">
        <w:rPr>
          <w:rFonts w:eastAsia="Times New Roman"/>
          <w:lang w:eastAsia="zh-CN"/>
        </w:rPr>
        <w:t>part of the RBG inside th</w:t>
      </w:r>
      <w:r>
        <w:rPr>
          <w:rFonts w:eastAsia="Times New Roman"/>
          <w:lang w:eastAsia="zh-CN"/>
        </w:rPr>
        <w:t>e downlink</w:t>
      </w:r>
      <w:r w:rsidRPr="00857066">
        <w:rPr>
          <w:rFonts w:eastAsia="Times New Roman"/>
          <w:lang w:eastAsia="zh-CN"/>
        </w:rPr>
        <w:t xml:space="preserve"> subband</w:t>
      </w:r>
      <w:r>
        <w:rPr>
          <w:rFonts w:eastAsia="Times New Roman"/>
          <w:lang w:eastAsia="zh-CN"/>
        </w:rPr>
        <w:t>(s)</w:t>
      </w:r>
      <w:r w:rsidRPr="00857066">
        <w:rPr>
          <w:rFonts w:eastAsia="Times New Roman"/>
          <w:lang w:eastAsia="zh-CN"/>
        </w:rPr>
        <w:t xml:space="preserve"> can be used</w:t>
      </w:r>
      <w:r>
        <w:rPr>
          <w:rFonts w:eastAsia="Times New Roman"/>
          <w:lang w:eastAsia="zh-CN"/>
        </w:rPr>
        <w:t xml:space="preserve">. Therefore, existing FDRA Type-0 can be directly reused in SBFD operation with no specification impact.  </w:t>
      </w:r>
    </w:p>
    <w:p w14:paraId="1C2EAADC" w14:textId="77777777" w:rsidR="00AB2D29" w:rsidRPr="00AB2D29" w:rsidRDefault="00AB2D29" w:rsidP="00AB2D29">
      <w:pPr>
        <w:spacing w:after="0"/>
        <w:jc w:val="both"/>
        <w:textAlignment w:val="center"/>
        <w:rPr>
          <w:rFonts w:eastAsia="Times New Roman"/>
          <w:lang w:eastAsia="zh-CN"/>
        </w:rPr>
      </w:pPr>
    </w:p>
    <w:p w14:paraId="6F23D5C9" w14:textId="743804EC" w:rsidR="00885B2D" w:rsidRDefault="00885B2D" w:rsidP="00AB2D29">
      <w:pPr>
        <w:shd w:val="clear" w:color="auto" w:fill="FFFFFF"/>
        <w:spacing w:after="0"/>
        <w:jc w:val="both"/>
        <w:rPr>
          <w:color w:val="000000" w:themeColor="text1"/>
        </w:rPr>
      </w:pPr>
      <w:r w:rsidRPr="004F0D45">
        <w:rPr>
          <w:color w:val="000000" w:themeColor="text1"/>
        </w:rPr>
        <w:t xml:space="preserve">Meanwhile, </w:t>
      </w:r>
      <w:r>
        <w:rPr>
          <w:color w:val="000000" w:themeColor="text1"/>
        </w:rPr>
        <w:t xml:space="preserve">FDRA Type-1 only supports contiguous resource allocation, based on indication of a </w:t>
      </w:r>
      <w:r w:rsidRPr="004F0D45">
        <w:rPr>
          <w:color w:val="000000" w:themeColor="text1"/>
        </w:rPr>
        <w:t>starting RB and RB length</w:t>
      </w:r>
      <w:r>
        <w:rPr>
          <w:color w:val="000000" w:themeColor="text1"/>
        </w:rPr>
        <w:t xml:space="preserve">. Also, FDRA </w:t>
      </w:r>
      <w:r w:rsidRPr="004F0D45">
        <w:rPr>
          <w:color w:val="000000" w:themeColor="text1"/>
        </w:rPr>
        <w:t>Type-1</w:t>
      </w:r>
      <w:r>
        <w:rPr>
          <w:color w:val="000000" w:themeColor="text1"/>
        </w:rPr>
        <w:t xml:space="preserve"> supports VRB-to-PRB interleaving, where the </w:t>
      </w:r>
      <w:r w:rsidRPr="004F0D45">
        <w:rPr>
          <w:color w:val="000000" w:themeColor="text1"/>
        </w:rPr>
        <w:t>allocated VRB</w:t>
      </w:r>
      <w:r>
        <w:rPr>
          <w:color w:val="000000" w:themeColor="text1"/>
        </w:rPr>
        <w:t>s are mapped to PRBs using an interleaving function (</w:t>
      </w:r>
      <w:r w:rsidRPr="004F0D45">
        <w:rPr>
          <w:color w:val="000000" w:themeColor="text1"/>
        </w:rPr>
        <w:t xml:space="preserve">even </w:t>
      </w:r>
      <w:r>
        <w:rPr>
          <w:color w:val="000000" w:themeColor="text1"/>
        </w:rPr>
        <w:t>V</w:t>
      </w:r>
      <w:r w:rsidRPr="004F0D45">
        <w:rPr>
          <w:color w:val="000000" w:themeColor="text1"/>
        </w:rPr>
        <w:t xml:space="preserve">RBs are mapped to the lower segment and odd </w:t>
      </w:r>
      <w:r>
        <w:rPr>
          <w:color w:val="000000" w:themeColor="text1"/>
        </w:rPr>
        <w:t>V</w:t>
      </w:r>
      <w:r w:rsidRPr="004F0D45">
        <w:rPr>
          <w:color w:val="000000" w:themeColor="text1"/>
        </w:rPr>
        <w:t>RBs to the higher segment</w:t>
      </w:r>
      <w:r>
        <w:rPr>
          <w:color w:val="000000" w:themeColor="text1"/>
        </w:rPr>
        <w:t xml:space="preserve">). Following the existing specification, FDRA Type-1 </w:t>
      </w:r>
      <w:r w:rsidRPr="004F0D45">
        <w:t>(with or without interleaving)</w:t>
      </w:r>
      <w:r>
        <w:rPr>
          <w:color w:val="000000" w:themeColor="text1"/>
        </w:rPr>
        <w:t xml:space="preserve"> can only be used for RB allocation within a single downlink subband, which limits the resource allocation flexibility. </w:t>
      </w:r>
    </w:p>
    <w:p w14:paraId="4CCD7C07" w14:textId="77777777" w:rsidR="00885B2D" w:rsidRDefault="00885B2D" w:rsidP="00885B2D">
      <w:pPr>
        <w:shd w:val="clear" w:color="auto" w:fill="FFFFFF"/>
        <w:spacing w:after="0"/>
        <w:jc w:val="both"/>
        <w:rPr>
          <w:color w:val="000000" w:themeColor="text1"/>
        </w:rPr>
      </w:pPr>
    </w:p>
    <w:p w14:paraId="72ED2340" w14:textId="12B2938E" w:rsidR="00885B2D" w:rsidRDefault="00BA7EA2" w:rsidP="00945A74">
      <w:pPr>
        <w:shd w:val="clear" w:color="auto" w:fill="FFFFFF"/>
        <w:spacing w:after="0"/>
        <w:jc w:val="both"/>
        <w:rPr>
          <w:color w:val="000000" w:themeColor="text1"/>
        </w:rPr>
      </w:pPr>
      <w:r>
        <w:rPr>
          <w:color w:val="000000" w:themeColor="text1"/>
        </w:rPr>
        <w:t>N</w:t>
      </w:r>
      <w:r w:rsidR="00885B2D">
        <w:rPr>
          <w:color w:val="000000" w:themeColor="text1"/>
        </w:rPr>
        <w:t>on-contiguous resource allocation for FDRA Type-1</w:t>
      </w:r>
      <w:r w:rsidR="00885B2D" w:rsidRPr="00DC25AE">
        <w:rPr>
          <w:color w:val="000000" w:themeColor="text1"/>
        </w:rPr>
        <w:t xml:space="preserve"> </w:t>
      </w:r>
      <w:r w:rsidR="00885B2D">
        <w:rPr>
          <w:color w:val="000000" w:themeColor="text1"/>
        </w:rPr>
        <w:t>can be achieved by</w:t>
      </w:r>
      <w:r w:rsidR="00885B2D" w:rsidRPr="00DC25AE">
        <w:rPr>
          <w:color w:val="000000" w:themeColor="text1"/>
        </w:rPr>
        <w:t xml:space="preserve"> </w:t>
      </w:r>
      <w:r w:rsidR="00885B2D">
        <w:rPr>
          <w:color w:val="000000" w:themeColor="text1"/>
        </w:rPr>
        <w:t xml:space="preserve">configuring a single contiguous resource allocation (as in existing FDRA Type-1) and excluding any portion of allocated resources that fall outside the downlink subband(s). </w:t>
      </w:r>
      <w:r w:rsidR="00945A74">
        <w:rPr>
          <w:color w:val="000000" w:themeColor="text1"/>
        </w:rPr>
        <w:t>In this case</w:t>
      </w:r>
      <w:r w:rsidR="00885B2D">
        <w:rPr>
          <w:color w:val="000000" w:themeColor="text1"/>
        </w:rPr>
        <w:t xml:space="preserve">, the </w:t>
      </w:r>
      <w:r w:rsidR="00885B2D" w:rsidRPr="004F0D45">
        <w:rPr>
          <w:color w:val="000000" w:themeColor="text1"/>
        </w:rPr>
        <w:t>VRBs (or PRBs) can be renumbered/reindexed</w:t>
      </w:r>
      <w:r w:rsidR="00945A74">
        <w:rPr>
          <w:color w:val="000000" w:themeColor="text1"/>
        </w:rPr>
        <w:t xml:space="preserve"> </w:t>
      </w:r>
      <w:r w:rsidR="00885B2D" w:rsidRPr="004F0D45">
        <w:rPr>
          <w:color w:val="000000" w:themeColor="text1"/>
        </w:rPr>
        <w:t xml:space="preserve">to exclude VRBs that fall outside the </w:t>
      </w:r>
      <w:r w:rsidR="00945A74">
        <w:rPr>
          <w:color w:val="000000" w:themeColor="text1"/>
        </w:rPr>
        <w:t>downlink</w:t>
      </w:r>
      <w:r w:rsidR="00885B2D" w:rsidRPr="004F0D45">
        <w:rPr>
          <w:color w:val="000000" w:themeColor="text1"/>
        </w:rPr>
        <w:t xml:space="preserve"> subbands, as shown in</w:t>
      </w:r>
      <w:r w:rsidR="00885B2D">
        <w:rPr>
          <w:color w:val="000000" w:themeColor="text1"/>
        </w:rPr>
        <w:t xml:space="preserve"> </w:t>
      </w:r>
      <w:r w:rsidR="002C694B">
        <w:rPr>
          <w:color w:val="000000" w:themeColor="text1"/>
        </w:rPr>
        <w:fldChar w:fldCharType="begin"/>
      </w:r>
      <w:r w:rsidR="002C694B">
        <w:rPr>
          <w:color w:val="000000" w:themeColor="text1"/>
        </w:rPr>
        <w:instrText xml:space="preserve"> REF _Ref159008128 \h </w:instrText>
      </w:r>
      <w:r w:rsidR="002C694B">
        <w:rPr>
          <w:color w:val="000000" w:themeColor="text1"/>
        </w:rPr>
      </w:r>
      <w:r w:rsidR="002C694B">
        <w:rPr>
          <w:color w:val="000000" w:themeColor="text1"/>
        </w:rPr>
        <w:fldChar w:fldCharType="separate"/>
      </w:r>
      <w:r w:rsidR="00CA6417" w:rsidRPr="004F0D45">
        <w:rPr>
          <w:bdr w:val="none" w:sz="0" w:space="0" w:color="auto" w:frame="1"/>
        </w:rPr>
        <w:t xml:space="preserve">Figure </w:t>
      </w:r>
      <w:r w:rsidR="00CA6417">
        <w:rPr>
          <w:noProof/>
        </w:rPr>
        <w:t>2</w:t>
      </w:r>
      <w:r w:rsidR="002C694B">
        <w:rPr>
          <w:color w:val="000000" w:themeColor="text1"/>
        </w:rPr>
        <w:fldChar w:fldCharType="end"/>
      </w:r>
      <w:r w:rsidR="00885B2D">
        <w:rPr>
          <w:color w:val="000000" w:themeColor="text1"/>
        </w:rPr>
        <w:t xml:space="preserve">. </w:t>
      </w:r>
      <w:r w:rsidR="00885B2D" w:rsidRPr="004F0D45">
        <w:rPr>
          <w:color w:val="000000" w:themeColor="text1"/>
        </w:rPr>
        <w:t>In this case, the gNB can flexibly allocate</w:t>
      </w:r>
      <w:r w:rsidR="00885B2D">
        <w:rPr>
          <w:color w:val="000000" w:themeColor="text1"/>
        </w:rPr>
        <w:t xml:space="preserve"> resources</w:t>
      </w:r>
      <w:r w:rsidR="00885B2D" w:rsidRPr="004F0D45">
        <w:rPr>
          <w:color w:val="000000" w:themeColor="text1"/>
        </w:rPr>
        <w:t xml:space="preserve"> across the </w:t>
      </w:r>
      <w:r w:rsidR="00885B2D">
        <w:rPr>
          <w:color w:val="000000" w:themeColor="text1"/>
        </w:rPr>
        <w:t>downlink</w:t>
      </w:r>
      <w:r w:rsidR="00885B2D" w:rsidRPr="004F0D45">
        <w:rPr>
          <w:color w:val="000000" w:themeColor="text1"/>
        </w:rPr>
        <w:t xml:space="preserve"> subbands</w:t>
      </w:r>
      <w:r w:rsidR="00885B2D">
        <w:rPr>
          <w:color w:val="000000" w:themeColor="text1"/>
        </w:rPr>
        <w:t xml:space="preserve"> </w:t>
      </w:r>
      <w:r w:rsidR="00885B2D" w:rsidRPr="004F0D45">
        <w:rPr>
          <w:color w:val="000000" w:themeColor="text1"/>
        </w:rPr>
        <w:t xml:space="preserve">since the </w:t>
      </w:r>
      <w:r w:rsidR="00885B2D">
        <w:rPr>
          <w:color w:val="000000" w:themeColor="text1"/>
        </w:rPr>
        <w:t>allocation</w:t>
      </w:r>
      <w:r w:rsidR="00885B2D" w:rsidRPr="004F0D45">
        <w:rPr>
          <w:color w:val="000000" w:themeColor="text1"/>
        </w:rPr>
        <w:t xml:space="preserve"> remains contiguous from the UE’s perspective due to the renumbered </w:t>
      </w:r>
      <w:r w:rsidR="00885B2D">
        <w:rPr>
          <w:color w:val="000000" w:themeColor="text1"/>
        </w:rPr>
        <w:t>VRB/</w:t>
      </w:r>
      <w:r w:rsidR="00885B2D" w:rsidRPr="004F0D45">
        <w:rPr>
          <w:color w:val="000000" w:themeColor="text1"/>
        </w:rPr>
        <w:t xml:space="preserve">PRBs. </w:t>
      </w:r>
      <w:r w:rsidR="00885B2D">
        <w:rPr>
          <w:color w:val="000000" w:themeColor="text1"/>
        </w:rPr>
        <w:t>In addition</w:t>
      </w:r>
      <w:r w:rsidR="00885B2D" w:rsidRPr="004F0D45">
        <w:rPr>
          <w:color w:val="000000" w:themeColor="text1"/>
        </w:rPr>
        <w:t xml:space="preserve">, </w:t>
      </w:r>
      <w:r w:rsidR="00885B2D">
        <w:rPr>
          <w:color w:val="000000" w:themeColor="text1"/>
        </w:rPr>
        <w:t>any potential</w:t>
      </w:r>
      <w:r w:rsidR="00885B2D" w:rsidRPr="004F0D45">
        <w:rPr>
          <w:color w:val="000000" w:themeColor="text1"/>
        </w:rPr>
        <w:t xml:space="preserve"> issue</w:t>
      </w:r>
      <w:r w:rsidR="00885B2D">
        <w:rPr>
          <w:color w:val="000000" w:themeColor="text1"/>
        </w:rPr>
        <w:t>s</w:t>
      </w:r>
      <w:r w:rsidR="00885B2D" w:rsidRPr="004F0D45">
        <w:rPr>
          <w:color w:val="000000" w:themeColor="text1"/>
        </w:rPr>
        <w:t xml:space="preserve"> </w:t>
      </w:r>
      <w:r w:rsidR="00885B2D">
        <w:rPr>
          <w:color w:val="000000" w:themeColor="text1"/>
        </w:rPr>
        <w:t xml:space="preserve">with VRB-to-PRB interleaving </w:t>
      </w:r>
      <w:r w:rsidR="00885B2D" w:rsidRPr="004F0D45">
        <w:rPr>
          <w:color w:val="000000" w:themeColor="text1"/>
        </w:rPr>
        <w:t xml:space="preserve">can be avoided since </w:t>
      </w:r>
      <w:r w:rsidR="00885B2D">
        <w:rPr>
          <w:color w:val="000000" w:themeColor="text1"/>
        </w:rPr>
        <w:t>RBs</w:t>
      </w:r>
      <w:r w:rsidR="00885B2D" w:rsidRPr="004F0D45">
        <w:rPr>
          <w:color w:val="000000" w:themeColor="text1"/>
        </w:rPr>
        <w:t xml:space="preserve"> outside the</w:t>
      </w:r>
      <w:r w:rsidR="00885B2D">
        <w:rPr>
          <w:color w:val="000000" w:themeColor="text1"/>
        </w:rPr>
        <w:t xml:space="preserve"> downlink</w:t>
      </w:r>
      <w:r w:rsidR="00885B2D" w:rsidRPr="004F0D45">
        <w:rPr>
          <w:color w:val="000000" w:themeColor="text1"/>
        </w:rPr>
        <w:t xml:space="preserve"> subbands will not be considered in the interleaving procedure after VRB</w:t>
      </w:r>
      <w:r w:rsidR="00885B2D">
        <w:rPr>
          <w:color w:val="000000" w:themeColor="text1"/>
        </w:rPr>
        <w:t>/PRB</w:t>
      </w:r>
      <w:r w:rsidR="00885B2D" w:rsidRPr="004F0D45">
        <w:rPr>
          <w:color w:val="000000" w:themeColor="text1"/>
        </w:rPr>
        <w:t xml:space="preserve"> reindexing.</w:t>
      </w:r>
      <w:r w:rsidR="00885B2D">
        <w:rPr>
          <w:color w:val="000000" w:themeColor="text1"/>
        </w:rPr>
        <w:t xml:space="preserve"> </w:t>
      </w:r>
      <w:r w:rsidR="00885B2D" w:rsidRPr="004F0D45">
        <w:rPr>
          <w:color w:val="000000" w:themeColor="text1"/>
        </w:rPr>
        <w:t xml:space="preserve"> </w:t>
      </w:r>
    </w:p>
    <w:p w14:paraId="257BA8A9" w14:textId="77777777" w:rsidR="00945A74" w:rsidRDefault="00945A74" w:rsidP="00945A74">
      <w:pPr>
        <w:shd w:val="clear" w:color="auto" w:fill="FFFFFF"/>
        <w:spacing w:after="0"/>
        <w:jc w:val="both"/>
        <w:rPr>
          <w:color w:val="000000" w:themeColor="text1"/>
        </w:rPr>
      </w:pPr>
    </w:p>
    <w:p w14:paraId="671C35E7" w14:textId="15BADDD3" w:rsidR="00945A74" w:rsidRDefault="00945A74" w:rsidP="00D3179A">
      <w:pPr>
        <w:spacing w:after="0"/>
        <w:jc w:val="both"/>
        <w:rPr>
          <w:b/>
          <w:bCs/>
          <w:i/>
          <w:iCs/>
        </w:rPr>
      </w:pPr>
      <w:bookmarkStart w:id="15" w:name="_Ref159007700"/>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2</w:t>
      </w:r>
      <w:r w:rsidRPr="004F0D45">
        <w:rPr>
          <w:b/>
          <w:bCs/>
          <w:i/>
          <w:iCs/>
        </w:rPr>
        <w:fldChar w:fldCharType="end"/>
      </w:r>
      <w:r w:rsidRPr="004F0D45">
        <w:t xml:space="preserve">: </w:t>
      </w:r>
      <w:r>
        <w:rPr>
          <w:b/>
          <w:bCs/>
          <w:i/>
          <w:iCs/>
        </w:rPr>
        <w:t>FDRA Type-0 can directly be reused for SBFD operation with no specification impact</w:t>
      </w:r>
      <w:bookmarkEnd w:id="15"/>
      <w:r w:rsidR="00967F25">
        <w:rPr>
          <w:b/>
          <w:bCs/>
          <w:i/>
          <w:iCs/>
        </w:rPr>
        <w:t>.</w:t>
      </w:r>
      <w:r>
        <w:rPr>
          <w:b/>
          <w:bCs/>
          <w:i/>
          <w:iCs/>
        </w:rPr>
        <w:t xml:space="preserve"> </w:t>
      </w:r>
    </w:p>
    <w:p w14:paraId="404CC592" w14:textId="20ED80B9" w:rsidR="00945A74" w:rsidRDefault="00945A74" w:rsidP="00D3179A">
      <w:pPr>
        <w:spacing w:after="0"/>
        <w:jc w:val="both"/>
        <w:rPr>
          <w:b/>
          <w:bCs/>
          <w:i/>
          <w:iCs/>
        </w:rPr>
      </w:pPr>
      <w:bookmarkStart w:id="16" w:name="_Ref159007705"/>
      <w:bookmarkStart w:id="17" w:name="_Ref159055858"/>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3</w:t>
      </w:r>
      <w:r w:rsidRPr="004F0D45">
        <w:rPr>
          <w:b/>
          <w:bCs/>
          <w:i/>
          <w:iCs/>
        </w:rPr>
        <w:fldChar w:fldCharType="end"/>
      </w:r>
      <w:r w:rsidRPr="004F0D45">
        <w:t xml:space="preserve">: </w:t>
      </w:r>
      <w:r>
        <w:rPr>
          <w:b/>
          <w:bCs/>
          <w:i/>
          <w:iCs/>
        </w:rPr>
        <w:t>Non-contiguous resource allocation using FDRA Type-1 can be achieve</w:t>
      </w:r>
      <w:r w:rsidR="00967F25">
        <w:rPr>
          <w:b/>
          <w:bCs/>
          <w:i/>
          <w:iCs/>
        </w:rPr>
        <w:t>d</w:t>
      </w:r>
      <w:r>
        <w:rPr>
          <w:b/>
          <w:bCs/>
          <w:i/>
          <w:iCs/>
        </w:rPr>
        <w:t xml:space="preserve"> </w:t>
      </w:r>
      <w:r w:rsidR="000E73C4">
        <w:rPr>
          <w:b/>
          <w:bCs/>
          <w:i/>
          <w:iCs/>
        </w:rPr>
        <w:t>by</w:t>
      </w:r>
      <w:r w:rsidR="000E73C4" w:rsidRPr="00DC25AE">
        <w:rPr>
          <w:color w:val="000000" w:themeColor="text1"/>
        </w:rPr>
        <w:t xml:space="preserve"> </w:t>
      </w:r>
      <w:r w:rsidR="000E73C4" w:rsidRPr="000E73C4">
        <w:rPr>
          <w:b/>
          <w:bCs/>
          <w:i/>
          <w:iCs/>
          <w:color w:val="000000" w:themeColor="text1"/>
        </w:rPr>
        <w:t>configuring a single contiguous resource</w:t>
      </w:r>
      <w:bookmarkEnd w:id="16"/>
      <w:r w:rsidR="000E73C4" w:rsidRPr="000E73C4">
        <w:rPr>
          <w:b/>
          <w:bCs/>
          <w:i/>
          <w:iCs/>
        </w:rPr>
        <w:t xml:space="preserve"> </w:t>
      </w:r>
      <w:r w:rsidR="000E73C4" w:rsidRPr="000E73C4">
        <w:rPr>
          <w:b/>
          <w:bCs/>
          <w:i/>
          <w:iCs/>
          <w:color w:val="000000" w:themeColor="text1"/>
        </w:rPr>
        <w:t>and excluding any portion of allocated resources that fall outside the downlink subband(s)</w:t>
      </w:r>
      <w:bookmarkEnd w:id="17"/>
      <w:r w:rsidR="00967F25">
        <w:rPr>
          <w:b/>
          <w:bCs/>
          <w:i/>
          <w:iCs/>
          <w:color w:val="000000" w:themeColor="text1"/>
        </w:rPr>
        <w:t>.</w:t>
      </w:r>
    </w:p>
    <w:p w14:paraId="423F927F" w14:textId="4F494130" w:rsidR="00945A74" w:rsidRPr="005F3195" w:rsidRDefault="00945A74" w:rsidP="00D3179A">
      <w:pPr>
        <w:spacing w:after="0"/>
        <w:jc w:val="both"/>
        <w:rPr>
          <w:b/>
          <w:bCs/>
          <w:i/>
          <w:iCs/>
        </w:rPr>
      </w:pPr>
      <w:bookmarkStart w:id="18" w:name="_Ref159007708"/>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4</w:t>
      </w:r>
      <w:r w:rsidRPr="004F0D45">
        <w:rPr>
          <w:b/>
          <w:bCs/>
          <w:i/>
          <w:iCs/>
        </w:rPr>
        <w:fldChar w:fldCharType="end"/>
      </w:r>
      <w:r w:rsidRPr="004F0D45">
        <w:t xml:space="preserve">: </w:t>
      </w:r>
      <w:r>
        <w:rPr>
          <w:b/>
          <w:bCs/>
          <w:i/>
          <w:iCs/>
        </w:rPr>
        <w:t>If non-contiguous resource allocation is supported for FDRA Type-1, any potential issues with VRB-to-PRB interleaving can be avoided by adopting RB reindexing.</w:t>
      </w:r>
      <w:bookmarkEnd w:id="18"/>
      <w:r>
        <w:rPr>
          <w:b/>
          <w:bCs/>
          <w:i/>
          <w:iCs/>
        </w:rPr>
        <w:t xml:space="preserve">  </w:t>
      </w:r>
    </w:p>
    <w:p w14:paraId="1BE3FA11" w14:textId="20A34EDA" w:rsidR="00945A74" w:rsidRPr="004F0D45" w:rsidRDefault="00945A74" w:rsidP="00D3179A">
      <w:pPr>
        <w:shd w:val="clear" w:color="auto" w:fill="FFFFFF"/>
        <w:spacing w:after="0"/>
        <w:jc w:val="both"/>
        <w:rPr>
          <w:b/>
          <w:bCs/>
          <w:i/>
          <w:iCs/>
          <w:color w:val="000000" w:themeColor="text1"/>
        </w:rPr>
      </w:pPr>
      <w:bookmarkStart w:id="19" w:name="_Ref134110576"/>
      <w:bookmarkStart w:id="20" w:name="_Ref159007887"/>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8</w:t>
      </w:r>
      <w:r w:rsidRPr="004F0D45">
        <w:rPr>
          <w:b/>
          <w:bCs/>
          <w:i/>
          <w:iCs/>
        </w:rPr>
        <w:fldChar w:fldCharType="end"/>
      </w:r>
      <w:r w:rsidRPr="004F0D45">
        <w:rPr>
          <w:rFonts w:cstheme="minorHAnsi"/>
          <w:b/>
          <w:bCs/>
          <w:i/>
          <w:iCs/>
        </w:rPr>
        <w:t>:</w:t>
      </w:r>
      <w:r>
        <w:rPr>
          <w:rFonts w:cstheme="minorHAnsi"/>
          <w:b/>
          <w:bCs/>
          <w:i/>
          <w:iCs/>
        </w:rPr>
        <w:t xml:space="preserve"> </w:t>
      </w:r>
      <w:r>
        <w:rPr>
          <w:b/>
          <w:bCs/>
          <w:i/>
          <w:iCs/>
          <w:color w:val="000000" w:themeColor="text1"/>
        </w:rPr>
        <w:t>S</w:t>
      </w:r>
      <w:r w:rsidRPr="004F0D45">
        <w:rPr>
          <w:b/>
          <w:bCs/>
          <w:i/>
          <w:iCs/>
          <w:color w:val="000000" w:themeColor="text1"/>
        </w:rPr>
        <w:t>upport non-contiguous</w:t>
      </w:r>
      <w:r>
        <w:rPr>
          <w:b/>
          <w:bCs/>
          <w:i/>
          <w:iCs/>
          <w:color w:val="000000" w:themeColor="text1"/>
        </w:rPr>
        <w:t xml:space="preserve"> resource allocation for </w:t>
      </w:r>
      <w:bookmarkEnd w:id="19"/>
      <w:r w:rsidRPr="004F0D45">
        <w:rPr>
          <w:b/>
          <w:bCs/>
          <w:i/>
          <w:iCs/>
          <w:color w:val="000000" w:themeColor="text1"/>
        </w:rPr>
        <w:t>Type-1 FDRA</w:t>
      </w:r>
      <w:bookmarkEnd w:id="20"/>
      <w:r w:rsidR="00967F25">
        <w:rPr>
          <w:b/>
          <w:bCs/>
          <w:i/>
          <w:iCs/>
          <w:color w:val="000000" w:themeColor="text1"/>
        </w:rPr>
        <w:t>.</w:t>
      </w:r>
    </w:p>
    <w:p w14:paraId="1D1C70B3" w14:textId="04000298" w:rsidR="00945A74" w:rsidRDefault="00945A74" w:rsidP="00945A74">
      <w:pPr>
        <w:shd w:val="clear" w:color="auto" w:fill="FFFFFF"/>
        <w:spacing w:after="0"/>
        <w:jc w:val="both"/>
        <w:rPr>
          <w:color w:val="000000" w:themeColor="text1"/>
        </w:rPr>
      </w:pPr>
      <w:bookmarkStart w:id="21" w:name="_Ref159007892"/>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9</w:t>
      </w:r>
      <w:r w:rsidRPr="004F0D45">
        <w:rPr>
          <w:b/>
          <w:bCs/>
          <w:i/>
          <w:iCs/>
        </w:rPr>
        <w:fldChar w:fldCharType="end"/>
      </w:r>
      <w:r w:rsidRPr="004F0D45">
        <w:rPr>
          <w:rFonts w:cstheme="minorHAnsi"/>
          <w:b/>
          <w:bCs/>
          <w:i/>
          <w:iCs/>
        </w:rPr>
        <w:t>:</w:t>
      </w:r>
      <w:r>
        <w:rPr>
          <w:rFonts w:cstheme="minorHAnsi"/>
          <w:b/>
          <w:bCs/>
          <w:i/>
          <w:iCs/>
        </w:rPr>
        <w:t xml:space="preserve"> </w:t>
      </w:r>
      <w:r w:rsidRPr="00D76C51">
        <w:rPr>
          <w:b/>
          <w:bCs/>
          <w:i/>
          <w:iCs/>
          <w:color w:val="000000" w:themeColor="text1"/>
        </w:rPr>
        <w:t>Support VRB/PRB reindexing</w:t>
      </w:r>
      <w:r w:rsidR="00764FB4" w:rsidRPr="00D76C51">
        <w:rPr>
          <w:b/>
          <w:bCs/>
          <w:i/>
          <w:iCs/>
          <w:color w:val="000000" w:themeColor="text1"/>
        </w:rPr>
        <w:t xml:space="preserve"> for non-contiguous resource allocation for Type-1 FDRA</w:t>
      </w:r>
      <w:r w:rsidRPr="00D76C51">
        <w:rPr>
          <w:b/>
          <w:bCs/>
          <w:i/>
          <w:iCs/>
          <w:color w:val="000000" w:themeColor="text1"/>
        </w:rPr>
        <w:t>, excluding RBs that fall outside the downlink subbands</w:t>
      </w:r>
      <w:bookmarkEnd w:id="21"/>
      <w:r w:rsidR="00967F25">
        <w:rPr>
          <w:b/>
          <w:bCs/>
          <w:i/>
          <w:iCs/>
          <w:color w:val="000000" w:themeColor="text1"/>
        </w:rPr>
        <w:t>.</w:t>
      </w:r>
    </w:p>
    <w:p w14:paraId="52C1C809" w14:textId="2D4BF0FD" w:rsidR="00885B2D" w:rsidRDefault="00885B2D" w:rsidP="00967F25">
      <w:pPr>
        <w:spacing w:after="0"/>
        <w:jc w:val="center"/>
      </w:pPr>
      <w:r w:rsidRPr="004F0D45">
        <w:rPr>
          <w:noProof/>
        </w:rPr>
        <w:drawing>
          <wp:inline distT="0" distB="0" distL="0" distR="0" wp14:anchorId="30EC1AF4" wp14:editId="2647257F">
            <wp:extent cx="2330450" cy="2472236"/>
            <wp:effectExtent l="0" t="0" r="0" b="4445"/>
            <wp:docPr id="50" name="Picture 49" descr="A screenshot of a computer screen&#10;&#10;Description automatically generated with low confidence">
              <a:extLst xmlns:a="http://schemas.openxmlformats.org/drawingml/2006/main">
                <a:ext uri="{FF2B5EF4-FFF2-40B4-BE49-F238E27FC236}">
                  <a16:creationId xmlns:a16="http://schemas.microsoft.com/office/drawing/2014/main" id="{1B61D54E-F452-A34F-BDD0-7801E852A1C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49" descr="A screenshot of a computer screen&#10;&#10;Description automatically generated with low confidence">
                      <a:extLst>
                        <a:ext uri="{FF2B5EF4-FFF2-40B4-BE49-F238E27FC236}">
                          <a16:creationId xmlns:a16="http://schemas.microsoft.com/office/drawing/2014/main" id="{1B61D54E-F452-A34F-BDD0-7801E852A1C9}"/>
                        </a:ext>
                      </a:extLst>
                    </pic:cNvPr>
                    <pic:cNvPicPr>
                      <a:picLocks noChangeAspect="1"/>
                    </pic:cNvPicPr>
                  </pic:nvPicPr>
                  <pic:blipFill>
                    <a:blip r:embed="rId14"/>
                    <a:stretch>
                      <a:fillRect/>
                    </a:stretch>
                  </pic:blipFill>
                  <pic:spPr>
                    <a:xfrm>
                      <a:off x="0" y="0"/>
                      <a:ext cx="2330450" cy="2472236"/>
                    </a:xfrm>
                    <a:prstGeom prst="rect">
                      <a:avLst/>
                    </a:prstGeom>
                  </pic:spPr>
                </pic:pic>
              </a:graphicData>
            </a:graphic>
          </wp:inline>
        </w:drawing>
      </w:r>
    </w:p>
    <w:p w14:paraId="10F17F31" w14:textId="759E3F0B" w:rsidR="005F3195" w:rsidRPr="00945A74" w:rsidRDefault="00885B2D" w:rsidP="00945A74">
      <w:pPr>
        <w:shd w:val="clear" w:color="auto" w:fill="FFFFFF"/>
        <w:spacing w:after="120"/>
        <w:jc w:val="center"/>
        <w:rPr>
          <w:color w:val="000000" w:themeColor="text1"/>
        </w:rPr>
      </w:pPr>
      <w:bookmarkStart w:id="22" w:name="_Ref159008128"/>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2</w:t>
      </w:r>
      <w:r w:rsidRPr="004F0D45">
        <w:rPr>
          <w:noProof/>
        </w:rPr>
        <w:fldChar w:fldCharType="end"/>
      </w:r>
      <w:bookmarkEnd w:id="22"/>
      <w:r w:rsidRPr="004F0D45">
        <w:rPr>
          <w:bdr w:val="none" w:sz="0" w:space="0" w:color="auto" w:frame="1"/>
        </w:rPr>
        <w:t xml:space="preserve">: </w:t>
      </w:r>
      <w:r w:rsidRPr="004F0D45">
        <w:t xml:space="preserve">VRB/PRB reindexing </w:t>
      </w:r>
      <w:r>
        <w:t xml:space="preserve">for </w:t>
      </w:r>
      <w:r w:rsidRPr="004F0D45">
        <w:t>non-contiguous</w:t>
      </w:r>
      <w:r>
        <w:t xml:space="preserve"> resource allocation for FDRA </w:t>
      </w:r>
      <w:r w:rsidRPr="004F0D45">
        <w:t xml:space="preserve">Type-1 </w:t>
      </w:r>
    </w:p>
    <w:p w14:paraId="0A537498" w14:textId="77777777" w:rsidR="00656FC9" w:rsidRDefault="00656FC9" w:rsidP="00656FC9">
      <w:pPr>
        <w:pStyle w:val="Heading4"/>
      </w:pPr>
      <w:r>
        <w:t xml:space="preserve">PDSCH Precoding    </w:t>
      </w:r>
    </w:p>
    <w:p w14:paraId="487CB357" w14:textId="7B1EA8CB" w:rsidR="00656FC9" w:rsidRDefault="00656FC9" w:rsidP="00656FC9">
      <w:pPr>
        <w:shd w:val="clear" w:color="auto" w:fill="FFFFFF"/>
        <w:spacing w:after="120"/>
        <w:jc w:val="both"/>
        <w:rPr>
          <w:color w:val="000000" w:themeColor="text1"/>
        </w:rPr>
      </w:pPr>
      <w:r>
        <w:rPr>
          <w:color w:val="000000" w:themeColor="text1"/>
        </w:rPr>
        <w:t xml:space="preserve">In the current specification, the network can configure the UE to apply a precoding resource block group (PRG) of size 2 RBs (default value), 4 RBs or “wideband”. The case of 2 RBs and 4 RBs can be directly applied on SBFD symbols – the only potential issue being the possible misalignment boundaries between PRG and the uplink subband. Like the RBG case, </w:t>
      </w:r>
      <w:r>
        <w:t xml:space="preserve">the </w:t>
      </w:r>
      <w:r w:rsidRPr="00857066">
        <w:rPr>
          <w:rFonts w:eastAsia="Times New Roman"/>
          <w:lang w:eastAsia="zh-CN"/>
        </w:rPr>
        <w:t xml:space="preserve">part of the </w:t>
      </w:r>
      <w:r>
        <w:rPr>
          <w:rFonts w:eastAsia="Times New Roman"/>
          <w:lang w:eastAsia="zh-CN"/>
        </w:rPr>
        <w:t>P</w:t>
      </w:r>
      <w:r w:rsidRPr="00857066">
        <w:rPr>
          <w:rFonts w:eastAsia="Times New Roman"/>
          <w:lang w:eastAsia="zh-CN"/>
        </w:rPr>
        <w:t>RG inside th</w:t>
      </w:r>
      <w:r>
        <w:rPr>
          <w:rFonts w:eastAsia="Times New Roman"/>
          <w:lang w:eastAsia="zh-CN"/>
        </w:rPr>
        <w:t>e downlink</w:t>
      </w:r>
      <w:r w:rsidRPr="00857066">
        <w:rPr>
          <w:rFonts w:eastAsia="Times New Roman"/>
          <w:lang w:eastAsia="zh-CN"/>
        </w:rPr>
        <w:t xml:space="preserve"> subband</w:t>
      </w:r>
      <w:r>
        <w:rPr>
          <w:rFonts w:eastAsia="Times New Roman"/>
          <w:lang w:eastAsia="zh-CN"/>
        </w:rPr>
        <w:t>s</w:t>
      </w:r>
      <w:r w:rsidRPr="00857066">
        <w:rPr>
          <w:rFonts w:eastAsia="Times New Roman"/>
          <w:lang w:eastAsia="zh-CN"/>
        </w:rPr>
        <w:t xml:space="preserve"> can be used</w:t>
      </w:r>
      <w:r>
        <w:rPr>
          <w:rFonts w:eastAsia="Times New Roman"/>
          <w:lang w:eastAsia="zh-CN"/>
        </w:rPr>
        <w:t xml:space="preserve">, which implies that the UE may perform channel estimation on fewer RB at the edge </w:t>
      </w:r>
      <w:r w:rsidR="00BB6216">
        <w:rPr>
          <w:rFonts w:eastAsia="Times New Roman"/>
          <w:lang w:eastAsia="zh-CN"/>
        </w:rPr>
        <w:t xml:space="preserve">of </w:t>
      </w:r>
      <w:r>
        <w:rPr>
          <w:rFonts w:eastAsia="Times New Roman"/>
          <w:lang w:eastAsia="zh-CN"/>
        </w:rPr>
        <w:t xml:space="preserve">downlink subbands. </w:t>
      </w:r>
    </w:p>
    <w:p w14:paraId="72F8EDBD" w14:textId="16951D6C" w:rsidR="00656FC9" w:rsidRDefault="00656FC9" w:rsidP="00656FC9">
      <w:pPr>
        <w:shd w:val="clear" w:color="auto" w:fill="FFFFFF"/>
        <w:spacing w:after="120"/>
        <w:jc w:val="both"/>
        <w:rPr>
          <w:color w:val="000000" w:themeColor="text1"/>
        </w:rPr>
      </w:pPr>
      <w:r>
        <w:rPr>
          <w:color w:val="000000" w:themeColor="text1"/>
        </w:rPr>
        <w:lastRenderedPageBreak/>
        <w:t>If PRG size is determined as “wideband”</w:t>
      </w:r>
      <w:r w:rsidR="00D82F0A">
        <w:rPr>
          <w:color w:val="000000" w:themeColor="text1"/>
        </w:rPr>
        <w:t xml:space="preserve"> </w:t>
      </w:r>
      <w:r>
        <w:rPr>
          <w:color w:val="000000" w:themeColor="text1"/>
        </w:rPr>
        <w:t xml:space="preserve">it only applies to </w:t>
      </w:r>
      <w:r w:rsidRPr="004F0D45">
        <w:rPr>
          <w:color w:val="000000" w:themeColor="text1"/>
        </w:rPr>
        <w:t>contiguous RB allocations</w:t>
      </w:r>
      <w:r>
        <w:rPr>
          <w:color w:val="000000" w:themeColor="text1"/>
        </w:rPr>
        <w:t xml:space="preserve">. To enable flexible resource allocation in SBFD operation, indication of “wideband” PRG can be allowed to cover non-contiguous RB allocation across downlink subbands – with contiguous resources within each downlink subband. In this case, the UE can assume that the allocated RBs within each downlink subband </w:t>
      </w:r>
      <w:r w:rsidRPr="00A124E9">
        <w:t>experience similar channel conditio</w:t>
      </w:r>
      <w:r>
        <w:t xml:space="preserve">ns. Therefore, the gNB applies the same precoding in each downlink subband. </w:t>
      </w:r>
      <w:r>
        <w:rPr>
          <w:color w:val="000000" w:themeColor="text1"/>
        </w:rPr>
        <w:t xml:space="preserve"> </w:t>
      </w:r>
    </w:p>
    <w:p w14:paraId="7BF8E208" w14:textId="5E87E645" w:rsidR="00523632" w:rsidRPr="00523632" w:rsidRDefault="00656FC9" w:rsidP="00523632">
      <w:pPr>
        <w:shd w:val="clear" w:color="auto" w:fill="FFFFFF"/>
        <w:spacing w:after="60"/>
        <w:jc w:val="both"/>
        <w:rPr>
          <w:b/>
          <w:bCs/>
          <w:i/>
          <w:iCs/>
        </w:rPr>
      </w:pPr>
      <w:bookmarkStart w:id="23" w:name="_Ref159007898"/>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10</w:t>
      </w:r>
      <w:r w:rsidRPr="004F0D45">
        <w:rPr>
          <w:b/>
          <w:bCs/>
          <w:i/>
          <w:iCs/>
        </w:rPr>
        <w:fldChar w:fldCharType="end"/>
      </w:r>
      <w:r w:rsidRPr="004F0D45">
        <w:rPr>
          <w:rFonts w:cstheme="minorHAnsi"/>
          <w:b/>
          <w:bCs/>
          <w:i/>
          <w:iCs/>
        </w:rPr>
        <w:t>:</w:t>
      </w:r>
      <w:r>
        <w:rPr>
          <w:rFonts w:cstheme="minorHAnsi"/>
          <w:b/>
          <w:bCs/>
          <w:i/>
          <w:iCs/>
        </w:rPr>
        <w:t xml:space="preserve"> </w:t>
      </w:r>
      <w:r w:rsidR="00523632">
        <w:rPr>
          <w:rFonts w:cstheme="minorHAnsi"/>
          <w:b/>
          <w:bCs/>
          <w:i/>
          <w:iCs/>
        </w:rPr>
        <w:t xml:space="preserve">Further study the performance gain and UE impact of allowing </w:t>
      </w:r>
      <w:r>
        <w:rPr>
          <w:rFonts w:cstheme="minorHAnsi"/>
          <w:b/>
          <w:bCs/>
          <w:i/>
          <w:iCs/>
        </w:rPr>
        <w:t>“</w:t>
      </w:r>
      <w:r w:rsidRPr="00D82F0A">
        <w:rPr>
          <w:rFonts w:cstheme="minorHAnsi"/>
          <w:b/>
          <w:bCs/>
          <w:i/>
          <w:iCs/>
        </w:rPr>
        <w:t>wideband</w:t>
      </w:r>
      <w:r>
        <w:rPr>
          <w:rFonts w:cstheme="minorHAnsi"/>
          <w:b/>
          <w:bCs/>
          <w:i/>
          <w:iCs/>
        </w:rPr>
        <w:t xml:space="preserve">” support </w:t>
      </w:r>
      <w:r w:rsidRPr="004F0D45">
        <w:rPr>
          <w:b/>
          <w:bCs/>
          <w:i/>
          <w:iCs/>
        </w:rPr>
        <w:t>non-contiguous frequency resources across</w:t>
      </w:r>
      <w:r>
        <w:rPr>
          <w:b/>
          <w:bCs/>
          <w:i/>
          <w:iCs/>
        </w:rPr>
        <w:t xml:space="preserve"> downlink</w:t>
      </w:r>
      <w:r w:rsidRPr="004F0D45">
        <w:rPr>
          <w:b/>
          <w:bCs/>
          <w:i/>
          <w:iCs/>
        </w:rPr>
        <w:t xml:space="preserve"> subbands.</w:t>
      </w:r>
      <w:bookmarkEnd w:id="23"/>
    </w:p>
    <w:p w14:paraId="223F2F7F" w14:textId="77777777" w:rsidR="0020080D" w:rsidRPr="00FF048D" w:rsidRDefault="0020080D" w:rsidP="0020080D">
      <w:pPr>
        <w:pStyle w:val="Heading4"/>
      </w:pPr>
      <w:r w:rsidRPr="00FF048D">
        <w:t xml:space="preserve">CSI-RS Resource     </w:t>
      </w:r>
    </w:p>
    <w:tbl>
      <w:tblPr>
        <w:tblStyle w:val="TableGrid"/>
        <w:tblW w:w="0" w:type="auto"/>
        <w:tblInd w:w="250" w:type="dxa"/>
        <w:tblLook w:val="04A0" w:firstRow="1" w:lastRow="0" w:firstColumn="1" w:lastColumn="0" w:noHBand="0" w:noVBand="1"/>
      </w:tblPr>
      <w:tblGrid>
        <w:gridCol w:w="9379"/>
      </w:tblGrid>
      <w:tr w:rsidR="0020080D" w:rsidRPr="004F0D45" w14:paraId="09534CF8" w14:textId="77777777" w:rsidTr="00623DE1">
        <w:tc>
          <w:tcPr>
            <w:tcW w:w="9379" w:type="dxa"/>
          </w:tcPr>
          <w:p w14:paraId="03ECB379" w14:textId="77777777" w:rsidR="0020080D" w:rsidRPr="004F0D45" w:rsidRDefault="0020080D" w:rsidP="006C21C9">
            <w:pPr>
              <w:spacing w:after="0"/>
              <w:contextualSpacing/>
              <w:jc w:val="both"/>
              <w:rPr>
                <w:rFonts w:ascii="Times" w:eastAsia="Times New Roman" w:hAnsi="Times" w:cs="Times"/>
                <w:b/>
                <w:bCs/>
                <w:lang w:eastAsia="en-GB"/>
              </w:rPr>
            </w:pPr>
            <w:r w:rsidRPr="004F0D45">
              <w:rPr>
                <w:rFonts w:ascii="Times" w:eastAsia="Times New Roman" w:hAnsi="Times" w:cs="Times"/>
                <w:b/>
                <w:bCs/>
                <w:lang w:eastAsia="en-GB"/>
              </w:rPr>
              <w:t>Agreement RAN1#112</w:t>
            </w:r>
          </w:p>
          <w:p w14:paraId="2AADDB63" w14:textId="77777777" w:rsidR="0020080D" w:rsidRPr="004F0D45" w:rsidRDefault="0020080D" w:rsidP="006C21C9">
            <w:pPr>
              <w:spacing w:after="0"/>
              <w:contextualSpacing/>
              <w:jc w:val="both"/>
              <w:rPr>
                <w:rFonts w:eastAsia="Malgun Gothic"/>
                <w:lang w:eastAsia="zh-CN"/>
              </w:rPr>
            </w:pPr>
            <w:r w:rsidRPr="004F0D45">
              <w:rPr>
                <w:rFonts w:eastAsia="Malgun Gothic"/>
                <w:lang w:eastAsia="zh-CN"/>
              </w:rPr>
              <w:t>Study the frequency resource allocation for CSI-RS across downlink subbands for SBFD-aware UEs considering the following options:</w:t>
            </w:r>
          </w:p>
          <w:p w14:paraId="6AC621CE" w14:textId="77777777" w:rsidR="0020080D" w:rsidRPr="004F0D45" w:rsidRDefault="0020080D" w:rsidP="006C21C9">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1: Two contiguous CSI-RS resources that are linked </w:t>
            </w:r>
          </w:p>
          <w:p w14:paraId="4E0BC88E" w14:textId="77777777" w:rsidR="0020080D" w:rsidRPr="004F0D45" w:rsidRDefault="0020080D" w:rsidP="006C21C9">
            <w:pPr>
              <w:pStyle w:val="2"/>
              <w:numPr>
                <w:ilvl w:val="1"/>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Option 2: One CSI-RS resource</w:t>
            </w:r>
          </w:p>
          <w:p w14:paraId="3519DF01" w14:textId="77777777" w:rsidR="0020080D" w:rsidRPr="004F0D45" w:rsidRDefault="0020080D" w:rsidP="006C21C9">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2-1: Non-contiguous CSI-RS resource allocation </w:t>
            </w:r>
          </w:p>
          <w:p w14:paraId="3C8D0706" w14:textId="77777777" w:rsidR="0020080D" w:rsidRPr="004F0D45" w:rsidRDefault="0020080D" w:rsidP="006C21C9">
            <w:pPr>
              <w:pStyle w:val="2"/>
              <w:numPr>
                <w:ilvl w:val="2"/>
                <w:numId w:val="15"/>
              </w:numPr>
              <w:suppressAutoHyphens w:val="0"/>
              <w:spacing w:after="0"/>
              <w:contextualSpacing/>
              <w:jc w:val="both"/>
              <w:rPr>
                <w:rFonts w:ascii="Times New Roman" w:eastAsia="Malgun Gothic" w:hAnsi="Times New Roman" w:cs="Times New Roman"/>
                <w:lang w:eastAsia="zh-CN"/>
              </w:rPr>
            </w:pPr>
            <w:r w:rsidRPr="004F0D45">
              <w:rPr>
                <w:rFonts w:ascii="Times New Roman" w:eastAsia="Malgun Gothic" w:hAnsi="Times New Roman" w:cs="Times New Roman"/>
                <w:lang w:eastAsia="zh-CN"/>
              </w:rPr>
              <w:t xml:space="preserve">Option 2-2: One contiguous CSI-RS resource allocation with non-contiguous CSI-RS resource derived by excluding frequency resources outside DL subband (s) </w:t>
            </w:r>
          </w:p>
        </w:tc>
      </w:tr>
    </w:tbl>
    <w:p w14:paraId="26E71669" w14:textId="3428C73F" w:rsidR="00656FC9" w:rsidRDefault="00656FC9" w:rsidP="006C21C9">
      <w:pPr>
        <w:spacing w:after="0"/>
        <w:jc w:val="both"/>
      </w:pPr>
    </w:p>
    <w:p w14:paraId="55085F66" w14:textId="77777777" w:rsidR="00DF2885" w:rsidRDefault="003D1E7E" w:rsidP="00DF2885">
      <w:pPr>
        <w:spacing w:after="0"/>
        <w:jc w:val="both"/>
        <w:rPr>
          <w:color w:val="000000" w:themeColor="text1"/>
        </w:rPr>
      </w:pPr>
      <w:r>
        <w:rPr>
          <w:color w:val="000000" w:themeColor="text1"/>
        </w:rPr>
        <w:t xml:space="preserve">In the current specification, CSI-RS resource allocation in frequency domain is across contiguous RBs. For SBFD operation, two options are considered to enable non-contiguous CSI-RS resource allocation across non-contiguous downlink subbands. </w:t>
      </w:r>
    </w:p>
    <w:p w14:paraId="62E9FFF4" w14:textId="77777777" w:rsidR="00DF2885" w:rsidRDefault="00DF2885" w:rsidP="00DF2885">
      <w:pPr>
        <w:spacing w:after="0"/>
        <w:jc w:val="both"/>
        <w:rPr>
          <w:color w:val="000000" w:themeColor="text1"/>
        </w:rPr>
      </w:pPr>
    </w:p>
    <w:p w14:paraId="5DBB8E88" w14:textId="40FA71BC" w:rsidR="003D1E7E" w:rsidRDefault="003D1E7E" w:rsidP="00DF2885">
      <w:pPr>
        <w:spacing w:after="0"/>
        <w:jc w:val="both"/>
        <w:rPr>
          <w:color w:val="000000" w:themeColor="text1"/>
        </w:rPr>
      </w:pPr>
      <w:r>
        <w:rPr>
          <w:color w:val="000000" w:themeColor="text1"/>
        </w:rPr>
        <w:t xml:space="preserve">The first option is to configure two contiguous CSI-RS resources – one for each downlink subband. </w:t>
      </w:r>
      <w:r w:rsidRPr="004F0D45">
        <w:t>In some configurations up to 64 CSI-RS resources can be configured within a</w:t>
      </w:r>
      <w:r>
        <w:t xml:space="preserve"> CSI-RS</w:t>
      </w:r>
      <w:r w:rsidRPr="004F0D45">
        <w:t xml:space="preserve"> </w:t>
      </w:r>
      <w:r>
        <w:t>R</w:t>
      </w:r>
      <w:r w:rsidRPr="004F0D45">
        <w:t xml:space="preserve">esource </w:t>
      </w:r>
      <w:r>
        <w:t>S</w:t>
      </w:r>
      <w:r w:rsidRPr="004F0D45">
        <w:t>et</w:t>
      </w:r>
      <w:r>
        <w:t xml:space="preserve"> – in </w:t>
      </w:r>
      <w:r w:rsidRPr="004F0D45">
        <w:t>which case Option 1 can readily be supported</w:t>
      </w:r>
      <w:r>
        <w:t xml:space="preserve"> using the existing specification. For this option, additional </w:t>
      </w:r>
      <w:proofErr w:type="spellStart"/>
      <w:r>
        <w:t>signaling</w:t>
      </w:r>
      <w:proofErr w:type="spellEnd"/>
      <w:r>
        <w:t xml:space="preserve"> is needed to link the two CSI-RS resources in the two downlink subbands. However, i</w:t>
      </w:r>
      <w:r w:rsidRPr="004F0D45">
        <w:t xml:space="preserve">n other configurations, the number of CSI-RS resources per </w:t>
      </w:r>
      <w:r>
        <w:t>R</w:t>
      </w:r>
      <w:r w:rsidRPr="004F0D45">
        <w:t xml:space="preserve">esource </w:t>
      </w:r>
      <w:r>
        <w:t>S</w:t>
      </w:r>
      <w:r w:rsidRPr="004F0D45">
        <w:t>et is limit</w:t>
      </w:r>
      <w:r>
        <w:t>ed</w:t>
      </w:r>
      <w:r w:rsidRPr="004F0D45">
        <w:t xml:space="preserve"> which can impact the number of CSI-RS resources that can be configured for each </w:t>
      </w:r>
      <w:r>
        <w:t>downlink</w:t>
      </w:r>
      <w:r w:rsidRPr="004F0D45">
        <w:t xml:space="preserve"> subband.  </w:t>
      </w:r>
      <w:r>
        <w:rPr>
          <w:color w:val="000000" w:themeColor="text1"/>
        </w:rPr>
        <w:t xml:space="preserve"> </w:t>
      </w:r>
    </w:p>
    <w:p w14:paraId="7F718657" w14:textId="77777777" w:rsidR="00DF2885" w:rsidRDefault="00DF2885" w:rsidP="00DF2885">
      <w:pPr>
        <w:spacing w:after="0"/>
        <w:jc w:val="both"/>
      </w:pPr>
    </w:p>
    <w:p w14:paraId="3CB8A2AB" w14:textId="1828EC0D" w:rsidR="00CE73B4" w:rsidRDefault="003D1E7E" w:rsidP="00A577F1">
      <w:pPr>
        <w:spacing w:after="0"/>
        <w:jc w:val="both"/>
        <w:rPr>
          <w:rFonts w:eastAsia="Malgun Gothic"/>
          <w:lang w:eastAsia="zh-CN"/>
        </w:rPr>
      </w:pPr>
      <w:r>
        <w:t>The second option, on the other hand, is to configure a single non-contiguous CSI-RS resource to cover the two downlink subbands. A variant of this option (</w:t>
      </w:r>
      <w:r w:rsidRPr="004F0D45">
        <w:rPr>
          <w:rFonts w:eastAsia="Malgun Gothic"/>
          <w:lang w:eastAsia="zh-CN"/>
        </w:rPr>
        <w:t>Option 2-2</w:t>
      </w:r>
      <w:r>
        <w:t xml:space="preserve">) involves configuring </w:t>
      </w:r>
      <w:r>
        <w:rPr>
          <w:rFonts w:eastAsia="Malgun Gothic"/>
          <w:lang w:eastAsia="zh-CN"/>
        </w:rPr>
        <w:t>o</w:t>
      </w:r>
      <w:r w:rsidRPr="004F0D45">
        <w:rPr>
          <w:rFonts w:eastAsia="Malgun Gothic"/>
          <w:lang w:eastAsia="zh-CN"/>
        </w:rPr>
        <w:t xml:space="preserve">ne contiguous CSI-RS resource allocation with non-contiguous CSI-RS resource derived by excluding frequency resources outside </w:t>
      </w:r>
      <w:r>
        <w:rPr>
          <w:rFonts w:eastAsia="Malgun Gothic"/>
          <w:lang w:eastAsia="zh-CN"/>
        </w:rPr>
        <w:t xml:space="preserve">downlink subbands. This can be achieved using the existing specification – </w:t>
      </w:r>
      <w:proofErr w:type="gramStart"/>
      <w:r>
        <w:rPr>
          <w:rFonts w:eastAsia="Malgun Gothic"/>
          <w:lang w:eastAsia="zh-CN"/>
        </w:rPr>
        <w:t>assuming that</w:t>
      </w:r>
      <w:proofErr w:type="gramEnd"/>
      <w:r>
        <w:rPr>
          <w:rFonts w:eastAsia="Malgun Gothic"/>
          <w:lang w:eastAsia="zh-CN"/>
        </w:rPr>
        <w:t xml:space="preserve"> the UE follows Rule 2 in </w:t>
      </w:r>
      <w:r w:rsidR="00DF2885">
        <w:rPr>
          <w:rFonts w:eastAsia="Malgun Gothic"/>
          <w:lang w:eastAsia="zh-CN"/>
        </w:rPr>
        <w:fldChar w:fldCharType="begin"/>
      </w:r>
      <w:r w:rsidR="00DF2885">
        <w:rPr>
          <w:rFonts w:eastAsia="Malgun Gothic"/>
          <w:lang w:eastAsia="zh-CN"/>
        </w:rPr>
        <w:instrText xml:space="preserve"> REF _Ref159056589 \h </w:instrText>
      </w:r>
      <w:r w:rsidR="00DF2885">
        <w:rPr>
          <w:rFonts w:eastAsia="Malgun Gothic"/>
          <w:lang w:eastAsia="zh-CN"/>
        </w:rPr>
      </w:r>
      <w:r w:rsidR="00DF2885">
        <w:rPr>
          <w:rFonts w:eastAsia="Malgun Gothic"/>
          <w:lang w:eastAsia="zh-CN"/>
        </w:rPr>
        <w:fldChar w:fldCharType="separate"/>
      </w:r>
      <w:r w:rsidR="00CA6417" w:rsidRPr="004F0D45">
        <w:rPr>
          <w:b/>
          <w:bCs/>
          <w:i/>
          <w:iCs/>
        </w:rPr>
        <w:t xml:space="preserve">Proposal </w:t>
      </w:r>
      <w:r w:rsidR="00CA6417">
        <w:rPr>
          <w:b/>
          <w:bCs/>
          <w:i/>
          <w:iCs/>
          <w:noProof/>
        </w:rPr>
        <w:t>7</w:t>
      </w:r>
      <w:r w:rsidR="00DF2885">
        <w:rPr>
          <w:rFonts w:eastAsia="Malgun Gothic"/>
          <w:lang w:eastAsia="zh-CN"/>
        </w:rPr>
        <w:fldChar w:fldCharType="end"/>
      </w:r>
      <w:r>
        <w:rPr>
          <w:rFonts w:eastAsia="Malgun Gothic"/>
          <w:lang w:eastAsia="zh-CN"/>
        </w:rPr>
        <w:t xml:space="preserve"> above. </w:t>
      </w:r>
      <w:r w:rsidR="00DF2885">
        <w:rPr>
          <w:rFonts w:eastAsia="Malgun Gothic"/>
          <w:lang w:eastAsia="zh-CN"/>
        </w:rPr>
        <w:t xml:space="preserve">In our view, </w:t>
      </w:r>
      <w:r w:rsidR="00DF2885" w:rsidRPr="004F0D45">
        <w:rPr>
          <w:rFonts w:eastAsia="Malgun Gothic"/>
          <w:lang w:eastAsia="zh-CN"/>
        </w:rPr>
        <w:t>Option 2-2</w:t>
      </w:r>
      <w:r w:rsidR="00DF2885">
        <w:rPr>
          <w:rFonts w:eastAsia="Malgun Gothic"/>
          <w:lang w:eastAsia="zh-CN"/>
        </w:rPr>
        <w:t xml:space="preserve"> is </w:t>
      </w:r>
      <w:proofErr w:type="gramStart"/>
      <w:r w:rsidR="00DF2885">
        <w:rPr>
          <w:rFonts w:eastAsia="Malgun Gothic"/>
          <w:lang w:eastAsia="zh-CN"/>
        </w:rPr>
        <w:t>similar to</w:t>
      </w:r>
      <w:proofErr w:type="gramEnd"/>
      <w:r w:rsidR="00DF2885">
        <w:rPr>
          <w:rFonts w:eastAsia="Malgun Gothic"/>
          <w:lang w:eastAsia="zh-CN"/>
        </w:rPr>
        <w:t xml:space="preserve"> Option 1 in</w:t>
      </w:r>
      <w:r>
        <w:rPr>
          <w:rFonts w:eastAsia="Malgun Gothic"/>
          <w:lang w:eastAsia="zh-CN"/>
        </w:rPr>
        <w:t xml:space="preserve"> practice</w:t>
      </w:r>
      <w:r w:rsidR="00DF2885">
        <w:rPr>
          <w:rFonts w:eastAsia="Malgun Gothic"/>
          <w:lang w:eastAsia="zh-CN"/>
        </w:rPr>
        <w:t xml:space="preserve"> </w:t>
      </w:r>
      <w:r>
        <w:rPr>
          <w:rFonts w:eastAsia="Malgun Gothic"/>
          <w:lang w:eastAsia="zh-CN"/>
        </w:rPr>
        <w:t xml:space="preserve">– since they both result in contiguous CSI-RS resources in each downlink subband. The main difference between the two Options is RRC </w:t>
      </w:r>
      <w:r w:rsidR="00523632">
        <w:rPr>
          <w:rFonts w:eastAsia="Malgun Gothic"/>
          <w:lang w:eastAsia="zh-CN"/>
        </w:rPr>
        <w:t>signalling</w:t>
      </w:r>
      <w:r>
        <w:rPr>
          <w:rFonts w:eastAsia="Malgun Gothic"/>
          <w:lang w:eastAsia="zh-CN"/>
        </w:rPr>
        <w:t xml:space="preserve"> – which is minimal for Option 2-2. </w:t>
      </w:r>
      <w:r w:rsidR="00CE73B4">
        <w:rPr>
          <w:rFonts w:eastAsia="Malgun Gothic"/>
          <w:lang w:eastAsia="zh-CN"/>
        </w:rPr>
        <w:t xml:space="preserve">At this stage, the impact of </w:t>
      </w:r>
      <w:r w:rsidR="00CE73B4" w:rsidRPr="004F0D45">
        <w:t>non-contiguous</w:t>
      </w:r>
      <w:r w:rsidR="00CE73B4">
        <w:t xml:space="preserve"> CSI-RS</w:t>
      </w:r>
      <w:r w:rsidR="00CE73B4" w:rsidRPr="004F0D45">
        <w:t xml:space="preserve"> allocation</w:t>
      </w:r>
      <w:r w:rsidR="00CE73B4">
        <w:t xml:space="preserve"> (using either Option 1 or Option 2-2) </w:t>
      </w:r>
      <w:r w:rsidR="00CE73B4" w:rsidRPr="004F0D45">
        <w:t>on measurement accuracy</w:t>
      </w:r>
      <w:r w:rsidR="00CE73B4">
        <w:t xml:space="preserve"> is still unclear. </w:t>
      </w:r>
    </w:p>
    <w:p w14:paraId="040529B4" w14:textId="77777777" w:rsidR="00A577F1" w:rsidRDefault="00A577F1" w:rsidP="00A577F1">
      <w:pPr>
        <w:spacing w:after="0"/>
        <w:jc w:val="both"/>
        <w:rPr>
          <w:b/>
          <w:bCs/>
          <w:i/>
          <w:iCs/>
          <w:strike/>
        </w:rPr>
      </w:pPr>
      <w:bookmarkStart w:id="24" w:name="_Ref159057736"/>
    </w:p>
    <w:p w14:paraId="57B45627" w14:textId="3EB8DC92" w:rsidR="00415032" w:rsidRPr="00415032" w:rsidRDefault="00AE0DCE" w:rsidP="00A577F1">
      <w:pPr>
        <w:spacing w:after="0"/>
        <w:jc w:val="both"/>
        <w:rPr>
          <w:rFonts w:eastAsia="Malgun Gothic"/>
          <w:lang w:eastAsia="zh-CN"/>
        </w:rPr>
      </w:pPr>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5</w:t>
      </w:r>
      <w:r w:rsidRPr="004F0D45">
        <w:rPr>
          <w:b/>
          <w:bCs/>
          <w:i/>
          <w:iCs/>
        </w:rPr>
        <w:fldChar w:fldCharType="end"/>
      </w:r>
      <w:r w:rsidRPr="004F0D45">
        <w:t xml:space="preserve">: </w:t>
      </w:r>
      <w:r w:rsidRPr="00AE0DCE">
        <w:rPr>
          <w:b/>
          <w:bCs/>
          <w:i/>
          <w:iCs/>
        </w:rPr>
        <w:t xml:space="preserve">The </w:t>
      </w:r>
      <w:r w:rsidRPr="00AE0DCE">
        <w:rPr>
          <w:rFonts w:eastAsia="Malgun Gothic"/>
          <w:b/>
          <w:bCs/>
          <w:i/>
          <w:iCs/>
          <w:lang w:eastAsia="zh-CN"/>
        </w:rPr>
        <w:t xml:space="preserve">impact of </w:t>
      </w:r>
      <w:r w:rsidRPr="00AE0DCE">
        <w:rPr>
          <w:b/>
          <w:bCs/>
          <w:i/>
          <w:iCs/>
        </w:rPr>
        <w:t>non-contiguous CSI-RS allocation (using either Option 1 or Option 2-2) on measurement accuracy is still unclear.</w:t>
      </w:r>
      <w:bookmarkEnd w:id="24"/>
      <w:r>
        <w:t xml:space="preserve"> </w:t>
      </w:r>
    </w:p>
    <w:p w14:paraId="4CAD3949" w14:textId="79DE7475" w:rsidR="003D1E7E" w:rsidRDefault="003D1E7E" w:rsidP="00A577F1">
      <w:pPr>
        <w:shd w:val="clear" w:color="auto" w:fill="FFFFFF"/>
        <w:spacing w:after="0"/>
        <w:jc w:val="both"/>
        <w:rPr>
          <w:rFonts w:cstheme="minorHAnsi"/>
          <w:b/>
          <w:bCs/>
          <w:i/>
          <w:iCs/>
        </w:rPr>
      </w:pPr>
      <w:bookmarkStart w:id="25" w:name="_Ref159007903"/>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11</w:t>
      </w:r>
      <w:r w:rsidRPr="004F0D45">
        <w:rPr>
          <w:b/>
          <w:bCs/>
          <w:i/>
          <w:iCs/>
        </w:rPr>
        <w:fldChar w:fldCharType="end"/>
      </w:r>
      <w:r w:rsidRPr="004F0D45">
        <w:rPr>
          <w:rFonts w:cstheme="minorHAnsi"/>
          <w:b/>
          <w:bCs/>
          <w:i/>
          <w:iCs/>
        </w:rPr>
        <w:t>:</w:t>
      </w:r>
      <w:r>
        <w:rPr>
          <w:rFonts w:cstheme="minorHAnsi"/>
          <w:b/>
          <w:bCs/>
          <w:i/>
          <w:iCs/>
        </w:rPr>
        <w:t xml:space="preserve"> </w:t>
      </w:r>
      <w:bookmarkEnd w:id="25"/>
      <w:r w:rsidR="00523632">
        <w:rPr>
          <w:b/>
          <w:bCs/>
          <w:i/>
          <w:iCs/>
        </w:rPr>
        <w:t xml:space="preserve">RAN1 to further study the impact of Option#1 and Option#2 on UE implementation and </w:t>
      </w:r>
      <w:r w:rsidR="00523632" w:rsidRPr="00AE0DCE">
        <w:rPr>
          <w:b/>
          <w:bCs/>
          <w:i/>
          <w:iCs/>
        </w:rPr>
        <w:t>measurement accuracy</w:t>
      </w:r>
      <w:r w:rsidR="00523632">
        <w:rPr>
          <w:b/>
          <w:bCs/>
          <w:i/>
          <w:iCs/>
        </w:rPr>
        <w:t xml:space="preserve">. </w:t>
      </w:r>
    </w:p>
    <w:p w14:paraId="1851F776" w14:textId="77777777" w:rsidR="0001628C" w:rsidRPr="0001628C" w:rsidRDefault="0001628C" w:rsidP="0001628C">
      <w:pPr>
        <w:shd w:val="clear" w:color="auto" w:fill="FFFFFF"/>
        <w:spacing w:after="0"/>
        <w:jc w:val="both"/>
        <w:rPr>
          <w:rFonts w:cstheme="minorHAnsi"/>
          <w:b/>
          <w:bCs/>
          <w:i/>
          <w:iCs/>
        </w:rPr>
      </w:pPr>
    </w:p>
    <w:p w14:paraId="4A8E01F9" w14:textId="77777777" w:rsidR="0015475A" w:rsidRDefault="0015475A" w:rsidP="005B4240">
      <w:pPr>
        <w:pStyle w:val="Heading3"/>
        <w:spacing w:before="0" w:after="0"/>
      </w:pPr>
      <w:r>
        <w:t xml:space="preserve">PHY Channels/Signals/Procedures across SBFD and non-SBFD Symbols in Different Slots  </w:t>
      </w:r>
    </w:p>
    <w:p w14:paraId="3687583E" w14:textId="77777777" w:rsidR="0015475A" w:rsidRDefault="0015475A" w:rsidP="0001628C">
      <w:pPr>
        <w:pStyle w:val="Heading4"/>
        <w:spacing w:before="0" w:after="0"/>
      </w:pPr>
      <w:r>
        <w:t xml:space="preserve">CSI Reporting Configuration      </w:t>
      </w:r>
    </w:p>
    <w:tbl>
      <w:tblPr>
        <w:tblStyle w:val="TableGrid"/>
        <w:tblW w:w="0" w:type="auto"/>
        <w:tblInd w:w="108" w:type="dxa"/>
        <w:tblLook w:val="04A0" w:firstRow="1" w:lastRow="0" w:firstColumn="1" w:lastColumn="0" w:noHBand="0" w:noVBand="1"/>
      </w:tblPr>
      <w:tblGrid>
        <w:gridCol w:w="9521"/>
      </w:tblGrid>
      <w:tr w:rsidR="0015475A" w:rsidRPr="004F0D45" w14:paraId="3F177AA3" w14:textId="77777777" w:rsidTr="00623DE1">
        <w:tc>
          <w:tcPr>
            <w:tcW w:w="9521" w:type="dxa"/>
          </w:tcPr>
          <w:p w14:paraId="4FFFECBF" w14:textId="77777777" w:rsidR="0015475A" w:rsidRPr="004F0D45" w:rsidRDefault="0015475A" w:rsidP="00385172">
            <w:pPr>
              <w:spacing w:after="0"/>
              <w:rPr>
                <w:rFonts w:eastAsia="Malgun Gothic"/>
                <w:b/>
                <w:lang w:eastAsia="zh-CN"/>
              </w:rPr>
            </w:pPr>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RAN1#112bis-e</w:t>
            </w:r>
          </w:p>
          <w:p w14:paraId="282A4257" w14:textId="77777777" w:rsidR="0015475A" w:rsidRPr="004F0D45" w:rsidRDefault="0015475A" w:rsidP="00385172">
            <w:pPr>
              <w:spacing w:after="0"/>
              <w:rPr>
                <w:rFonts w:eastAsia="Malgun Gothic" w:cs="Times"/>
                <w:lang w:eastAsia="zh-CN"/>
              </w:rPr>
            </w:pPr>
            <w:r w:rsidRPr="004F0D45">
              <w:rPr>
                <w:rFonts w:eastAsia="Malgun Gothic" w:cs="Times"/>
                <w:lang w:eastAsia="zh-CN"/>
              </w:rPr>
              <w:t>For SBFD-aware UEs, study the following options</w:t>
            </w:r>
            <w:r w:rsidRPr="004F0D45">
              <w:rPr>
                <w:rFonts w:eastAsia="Malgun Gothic" w:cs="Times"/>
              </w:rPr>
              <w:t xml:space="preserve"> for CSI report associated with periodic/semi-persistent CSI-RS </w:t>
            </w:r>
            <w:r w:rsidRPr="004F0D45">
              <w:rPr>
                <w:rFonts w:eastAsia="Malgun Gothic" w:cs="Times"/>
                <w:lang w:eastAsia="zh-CN"/>
              </w:rPr>
              <w:t>in case the periodicity is such that CSI-RS instances occur in both SBFD and non-SBFD symbols:</w:t>
            </w:r>
          </w:p>
          <w:p w14:paraId="783FCD1B" w14:textId="77777777" w:rsidR="0015475A" w:rsidRPr="004F0D45" w:rsidRDefault="0015475A" w:rsidP="00385172">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1: two </w:t>
            </w:r>
            <w:r w:rsidRPr="004F0D45">
              <w:rPr>
                <w:rFonts w:eastAsia="Malgun Gothic" w:cs="Times"/>
                <w:i/>
                <w:iCs/>
                <w:lang w:eastAsia="zh-CN"/>
              </w:rPr>
              <w:t>CSI-</w:t>
            </w:r>
            <w:proofErr w:type="spellStart"/>
            <w:r w:rsidRPr="004F0D45">
              <w:rPr>
                <w:rFonts w:eastAsia="Malgun Gothic" w:cs="Times"/>
                <w:i/>
                <w:iCs/>
                <w:lang w:eastAsia="zh-CN"/>
              </w:rPr>
              <w:t>ReportConfig</w:t>
            </w:r>
            <w:r w:rsidRPr="004F0D45">
              <w:rPr>
                <w:rFonts w:eastAsia="Malgun Gothic" w:cs="Times"/>
                <w:iCs/>
                <w:lang w:eastAsia="zh-CN"/>
              </w:rPr>
              <w:t>s</w:t>
            </w:r>
            <w:proofErr w:type="spellEnd"/>
            <w:r w:rsidRPr="004F0D45">
              <w:rPr>
                <w:rFonts w:eastAsia="Malgun Gothic" w:cs="Times"/>
                <w:i/>
                <w:iCs/>
                <w:lang w:eastAsia="zh-CN"/>
              </w:rPr>
              <w:t xml:space="preserve">, </w:t>
            </w:r>
            <w:r w:rsidRPr="004F0D45">
              <w:rPr>
                <w:rFonts w:eastAsia="Malgun Gothic" w:cs="Times"/>
                <w:lang w:eastAsia="zh-CN"/>
              </w:rPr>
              <w:t>where one is associated with SBFD symbols and the other is associated with non-SBFD symbols</w:t>
            </w:r>
          </w:p>
          <w:p w14:paraId="42AC8C47" w14:textId="77777777" w:rsidR="0015475A" w:rsidRPr="004F0D45" w:rsidRDefault="0015475A" w:rsidP="00385172">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1-1: One </w:t>
            </w:r>
            <w:r w:rsidRPr="004F0D45">
              <w:rPr>
                <w:rFonts w:eastAsia="Malgun Gothic" w:cs="Times"/>
                <w:i/>
                <w:iCs/>
                <w:lang w:eastAsia="zh-CN"/>
              </w:rPr>
              <w:t>CSI-ReportConfig</w:t>
            </w:r>
            <w:r w:rsidRPr="004F0D45">
              <w:rPr>
                <w:rFonts w:eastAsia="Malgun Gothic" w:cs="Times"/>
                <w:lang w:eastAsia="zh-CN"/>
              </w:rPr>
              <w:t xml:space="preserve"> is associated with a CSI-RS restricted to SBFD symbols only and the second </w:t>
            </w:r>
            <w:r w:rsidRPr="004F0D45">
              <w:rPr>
                <w:rFonts w:eastAsia="Malgun Gothic" w:cs="Times"/>
                <w:i/>
                <w:iCs/>
                <w:lang w:eastAsia="zh-CN"/>
              </w:rPr>
              <w:t>CSI-ReportConfig</w:t>
            </w:r>
            <w:r w:rsidRPr="004F0D45">
              <w:rPr>
                <w:rFonts w:eastAsia="Malgun Gothic" w:cs="Times"/>
                <w:lang w:eastAsia="zh-CN"/>
              </w:rPr>
              <w:t xml:space="preserve"> is associated with a second CSI-RS restricted to non-SBFD symbols </w:t>
            </w:r>
            <w:proofErr w:type="gramStart"/>
            <w:r w:rsidRPr="004F0D45">
              <w:rPr>
                <w:rFonts w:eastAsia="Malgun Gothic" w:cs="Times"/>
                <w:lang w:eastAsia="zh-CN"/>
              </w:rPr>
              <w:t>only;</w:t>
            </w:r>
            <w:proofErr w:type="gramEnd"/>
          </w:p>
          <w:p w14:paraId="708E6937" w14:textId="77777777" w:rsidR="0015475A" w:rsidRPr="004F0D45" w:rsidRDefault="0015475A" w:rsidP="00385172">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1-2: Both </w:t>
            </w:r>
            <w:r w:rsidRPr="004F0D45">
              <w:rPr>
                <w:rFonts w:eastAsia="Malgun Gothic" w:cs="Times"/>
                <w:i/>
                <w:iCs/>
                <w:lang w:eastAsia="zh-CN"/>
              </w:rPr>
              <w:t>CSI-</w:t>
            </w:r>
            <w:proofErr w:type="spellStart"/>
            <w:r w:rsidRPr="004F0D45">
              <w:rPr>
                <w:rFonts w:eastAsia="Malgun Gothic" w:cs="Times"/>
                <w:i/>
                <w:iCs/>
                <w:lang w:eastAsia="zh-CN"/>
              </w:rPr>
              <w:t>ReportConfig</w:t>
            </w:r>
            <w:r w:rsidRPr="004F0D45">
              <w:rPr>
                <w:rFonts w:eastAsia="Malgun Gothic" w:cs="Times"/>
                <w:iCs/>
                <w:lang w:eastAsia="zh-CN"/>
              </w:rPr>
              <w:t>s</w:t>
            </w:r>
            <w:proofErr w:type="spellEnd"/>
            <w:r w:rsidRPr="004F0D45">
              <w:rPr>
                <w:rFonts w:eastAsia="Malgun Gothic" w:cs="Times"/>
                <w:lang w:eastAsia="zh-CN"/>
              </w:rPr>
              <w:t xml:space="preserve"> are associated with the same CSI-RS. The CSI report associated with one </w:t>
            </w:r>
            <w:r w:rsidRPr="004F0D45">
              <w:rPr>
                <w:rFonts w:eastAsia="Malgun Gothic" w:cs="Times"/>
                <w:i/>
                <w:iCs/>
                <w:lang w:eastAsia="zh-CN"/>
              </w:rPr>
              <w:t>CSI-ReportConfig</w:t>
            </w:r>
            <w:r w:rsidRPr="004F0D45">
              <w:rPr>
                <w:rFonts w:eastAsia="Malgun Gothic" w:cs="Times"/>
                <w:lang w:eastAsia="zh-CN"/>
              </w:rPr>
              <w:t xml:space="preserve"> is derived based on CSI-RS instances in SBFD symbols only. The CSI report associated with the second </w:t>
            </w:r>
            <w:r w:rsidRPr="004F0D45">
              <w:rPr>
                <w:rFonts w:eastAsia="Malgun Gothic" w:cs="Times"/>
                <w:i/>
                <w:iCs/>
                <w:lang w:eastAsia="zh-CN"/>
              </w:rPr>
              <w:t>CSI-ReportConfig</w:t>
            </w:r>
            <w:r w:rsidRPr="004F0D45">
              <w:rPr>
                <w:rFonts w:eastAsia="Malgun Gothic" w:cs="Times"/>
                <w:lang w:eastAsia="zh-CN"/>
              </w:rPr>
              <w:t xml:space="preserve"> is derived based on CSI-RS instances in non-SBFD symbols only.</w:t>
            </w:r>
          </w:p>
          <w:p w14:paraId="226752A0" w14:textId="77777777" w:rsidR="0015475A" w:rsidRPr="004F0D45" w:rsidRDefault="0015475A" w:rsidP="00385172">
            <w:pPr>
              <w:numPr>
                <w:ilvl w:val="0"/>
                <w:numId w:val="20"/>
              </w:numPr>
              <w:overflowPunct/>
              <w:autoSpaceDE/>
              <w:autoSpaceDN/>
              <w:adjustRightInd/>
              <w:spacing w:after="0"/>
              <w:rPr>
                <w:rFonts w:eastAsia="Malgun Gothic"/>
                <w:lang w:eastAsia="zh-CN"/>
              </w:rPr>
            </w:pPr>
            <w:r w:rsidRPr="004F0D45">
              <w:rPr>
                <w:rFonts w:eastAsia="Malgun Gothic" w:cs="Times"/>
                <w:lang w:eastAsia="zh-CN"/>
              </w:rPr>
              <w:t xml:space="preserve">Option 2: one </w:t>
            </w:r>
            <w:r w:rsidRPr="004F0D45">
              <w:rPr>
                <w:rFonts w:eastAsia="Malgun Gothic" w:cs="Times"/>
                <w:i/>
                <w:iCs/>
                <w:lang w:eastAsia="zh-CN"/>
              </w:rPr>
              <w:t>CSI-ReportConfig</w:t>
            </w:r>
            <w:r w:rsidRPr="004F0D45">
              <w:rPr>
                <w:rFonts w:eastAsia="Malgun Gothic" w:cs="Times"/>
                <w:lang w:eastAsia="zh-CN"/>
              </w:rPr>
              <w:t xml:space="preserve"> associated with both SBFD symbols and non-SBFD symbols</w:t>
            </w:r>
          </w:p>
          <w:p w14:paraId="70D99079" w14:textId="77777777" w:rsidR="0015475A" w:rsidRPr="004F0D45" w:rsidRDefault="0015475A" w:rsidP="00385172">
            <w:pPr>
              <w:numPr>
                <w:ilvl w:val="1"/>
                <w:numId w:val="20"/>
              </w:numPr>
              <w:overflowPunct/>
              <w:autoSpaceDE/>
              <w:autoSpaceDN/>
              <w:adjustRightInd/>
              <w:spacing w:after="0"/>
              <w:rPr>
                <w:rFonts w:eastAsia="Malgun Gothic"/>
                <w:lang w:eastAsia="zh-CN"/>
              </w:rPr>
            </w:pPr>
            <w:r w:rsidRPr="004F0D45">
              <w:rPr>
                <w:rFonts w:eastAsia="Malgun Gothic" w:cs="Times"/>
                <w:lang w:eastAsia="zh-CN"/>
              </w:rPr>
              <w:lastRenderedPageBreak/>
              <w:t xml:space="preserve">Option 2-1: One </w:t>
            </w:r>
            <w:r w:rsidRPr="004F0D45">
              <w:rPr>
                <w:rFonts w:eastAsia="Malgun Gothic" w:cs="Times"/>
                <w:i/>
                <w:iCs/>
                <w:lang w:eastAsia="zh-CN"/>
              </w:rPr>
              <w:t>CSI-ReportConfig</w:t>
            </w:r>
            <w:r w:rsidRPr="004F0D45">
              <w:rPr>
                <w:rFonts w:eastAsia="Malgun Gothic" w:cs="Times"/>
                <w:lang w:eastAsia="zh-CN"/>
              </w:rPr>
              <w:t xml:space="preserve"> is associated with two CSI-RSs which are restricted to SBFD symbols and non-SBFD symbols respectively. Separate CSI measurements are derived based on the first and second CSI-RSs respectively.</w:t>
            </w:r>
          </w:p>
          <w:p w14:paraId="658875AE" w14:textId="77777777" w:rsidR="0015475A" w:rsidRPr="004F0D45" w:rsidRDefault="0015475A" w:rsidP="00385172">
            <w:pPr>
              <w:numPr>
                <w:ilvl w:val="1"/>
                <w:numId w:val="20"/>
              </w:numPr>
              <w:overflowPunct/>
              <w:autoSpaceDE/>
              <w:autoSpaceDN/>
              <w:adjustRightInd/>
              <w:spacing w:after="0"/>
              <w:rPr>
                <w:rFonts w:eastAsia="Malgun Gothic"/>
                <w:lang w:eastAsia="zh-CN"/>
              </w:rPr>
            </w:pPr>
            <w:r w:rsidRPr="004F0D45">
              <w:rPr>
                <w:rFonts w:eastAsia="Malgun Gothic" w:cs="Times"/>
                <w:lang w:eastAsia="zh-CN"/>
              </w:rPr>
              <w:t xml:space="preserve">Option 2-2: One </w:t>
            </w:r>
            <w:r w:rsidRPr="004F0D45">
              <w:rPr>
                <w:rFonts w:eastAsia="Malgun Gothic" w:cs="Times"/>
                <w:i/>
                <w:iCs/>
                <w:lang w:eastAsia="zh-CN"/>
              </w:rPr>
              <w:t>CSI-ReportConfig</w:t>
            </w:r>
            <w:r w:rsidRPr="004F0D45">
              <w:rPr>
                <w:rFonts w:eastAsia="Malgun Gothic" w:cs="Times"/>
                <w:lang w:eastAsia="zh-CN"/>
              </w:rPr>
              <w:t xml:space="preserve"> is associated with one CSI-RS. The CSI report is derived based on CSI-RS which can be in SBFD symbols or non-SBFD symbols in different time instances.</w:t>
            </w:r>
          </w:p>
        </w:tc>
      </w:tr>
    </w:tbl>
    <w:p w14:paraId="5026CA29" w14:textId="7B267749" w:rsidR="0015475A" w:rsidRDefault="0015475A" w:rsidP="00385172">
      <w:pPr>
        <w:spacing w:after="0"/>
        <w:jc w:val="both"/>
      </w:pPr>
    </w:p>
    <w:p w14:paraId="5D6FCDA5" w14:textId="049D14D3" w:rsidR="0015475A" w:rsidRDefault="0015475A" w:rsidP="00385172">
      <w:pPr>
        <w:spacing w:after="0"/>
        <w:jc w:val="both"/>
        <w:rPr>
          <w:rFonts w:eastAsia="Malgun Gothic"/>
        </w:rPr>
      </w:pPr>
      <w:r>
        <w:t xml:space="preserve">Two main options been agreed </w:t>
      </w:r>
      <w:r w:rsidR="005B4240">
        <w:t>in</w:t>
      </w:r>
      <w:r>
        <w:t xml:space="preserve"> RAN1 for achieving slot CSI reporting in SBFD operation. </w:t>
      </w:r>
      <w:r w:rsidRPr="002F1FBA">
        <w:t>The need for separate CSI reporting</w:t>
      </w:r>
      <w:r>
        <w:t xml:space="preserve"> </w:t>
      </w:r>
      <w:r w:rsidRPr="002F1FBA">
        <w:t xml:space="preserve">arises from the distinct interference patterns observed </w:t>
      </w:r>
      <w:r>
        <w:t xml:space="preserve">on SBFD and non-SBFD slots. In the most part, </w:t>
      </w:r>
      <w:r>
        <w:rPr>
          <w:rFonts w:eastAsia="Malgun Gothic"/>
        </w:rPr>
        <w:t>s</w:t>
      </w:r>
      <w:r w:rsidRPr="004F0D45">
        <w:rPr>
          <w:rFonts w:eastAsia="Malgun Gothic"/>
        </w:rPr>
        <w:t>lot</w:t>
      </w:r>
      <w:r>
        <w:rPr>
          <w:rFonts w:eastAsia="Malgun Gothic"/>
        </w:rPr>
        <w:t>-</w:t>
      </w:r>
      <w:r w:rsidRPr="004F0D45">
        <w:rPr>
          <w:rFonts w:eastAsia="Malgun Gothic"/>
        </w:rPr>
        <w:t>specific CSI reporting can readily be supported by current specification</w:t>
      </w:r>
      <w:r>
        <w:rPr>
          <w:rFonts w:eastAsia="Malgun Gothic"/>
        </w:rPr>
        <w:t>. For instance, t</w:t>
      </w:r>
      <w:r w:rsidRPr="004F0D45">
        <w:rPr>
          <w:rFonts w:eastAsia="Malgun Gothic"/>
        </w:rPr>
        <w:t xml:space="preserve">he higher layer parameter </w:t>
      </w:r>
      <w:r w:rsidRPr="004F0D45">
        <w:rPr>
          <w:rFonts w:eastAsia="Malgun Gothic"/>
          <w:i/>
          <w:iCs/>
        </w:rPr>
        <w:t xml:space="preserve">timeRestrictionForChannelMeasurements </w:t>
      </w:r>
      <w:r w:rsidRPr="004F0D45">
        <w:rPr>
          <w:rFonts w:eastAsia="Malgun Gothic"/>
        </w:rPr>
        <w:t xml:space="preserve">(or </w:t>
      </w:r>
      <w:proofErr w:type="spellStart"/>
      <w:r w:rsidRPr="004F0D45">
        <w:rPr>
          <w:rFonts w:eastAsia="Malgun Gothic"/>
          <w:i/>
          <w:iCs/>
        </w:rPr>
        <w:t>timeRestrictionForInterferenceMeasurements</w:t>
      </w:r>
      <w:proofErr w:type="spellEnd"/>
      <w:r w:rsidRPr="004F0D45">
        <w:rPr>
          <w:rFonts w:eastAsia="Malgun Gothic"/>
        </w:rPr>
        <w:t>) defines a restriction on the time domain resources used for channel (or interference) measurements. When this parameter is set to “</w:t>
      </w:r>
      <w:r w:rsidRPr="004F0D45">
        <w:rPr>
          <w:rFonts w:eastAsia="Malgun Gothic"/>
          <w:i/>
          <w:iCs/>
        </w:rPr>
        <w:t>configured</w:t>
      </w:r>
      <w:r w:rsidRPr="004F0D45">
        <w:rPr>
          <w:rFonts w:eastAsia="Malgun Gothic"/>
        </w:rPr>
        <w:t>”, channel/interference measurement is restricted to resources within a single slot (the “</w:t>
      </w:r>
      <w:r w:rsidRPr="004F0D45">
        <w:rPr>
          <w:rFonts w:eastAsia="Malgun Gothic"/>
          <w:i/>
          <w:iCs/>
        </w:rPr>
        <w:t>reference resource</w:t>
      </w:r>
      <w:r w:rsidRPr="004F0D45">
        <w:rPr>
          <w:rFonts w:eastAsia="Malgun Gothic"/>
        </w:rPr>
        <w:t>”), which can be either a SBFD or a non-SBFD slot.</w:t>
      </w:r>
      <w:r>
        <w:rPr>
          <w:rFonts w:eastAsia="Malgun Gothic"/>
        </w:rPr>
        <w:t xml:space="preserve"> </w:t>
      </w:r>
    </w:p>
    <w:p w14:paraId="25312C2D" w14:textId="77777777" w:rsidR="0015475A" w:rsidRDefault="0015475A" w:rsidP="0015475A">
      <w:pPr>
        <w:spacing w:after="0"/>
        <w:jc w:val="both"/>
        <w:rPr>
          <w:rFonts w:eastAsia="Malgun Gothic"/>
        </w:rPr>
      </w:pPr>
    </w:p>
    <w:p w14:paraId="78837BF2" w14:textId="7435B808" w:rsidR="005B4240" w:rsidRDefault="0015475A" w:rsidP="005B4240">
      <w:pPr>
        <w:jc w:val="both"/>
        <w:rPr>
          <w:rFonts w:eastAsia="Malgun Gothic" w:cs="Times"/>
          <w:lang w:eastAsia="zh-CN"/>
        </w:rPr>
      </w:pPr>
      <w:r w:rsidRPr="006F1BEF">
        <w:rPr>
          <w:rFonts w:eastAsia="Malgun Gothic"/>
        </w:rPr>
        <w:t>When this parameter is set to not “</w:t>
      </w:r>
      <w:r w:rsidRPr="006F1BEF">
        <w:rPr>
          <w:rFonts w:eastAsia="Malgun Gothic"/>
          <w:i/>
          <w:iCs/>
        </w:rPr>
        <w:t>not configured</w:t>
      </w:r>
      <w:r w:rsidRPr="006F1BEF">
        <w:rPr>
          <w:rFonts w:eastAsia="Malgun Gothic"/>
        </w:rPr>
        <w:t xml:space="preserve">”, channel/interference measurement can be across multiple slots. In this case, one the agreed options for CSI reporting configuration can be adopted to </w:t>
      </w:r>
      <w:r>
        <w:t xml:space="preserve">achieve slot-specific CSI reporting. Among these options, </w:t>
      </w:r>
      <w:r w:rsidRPr="006F1BEF">
        <w:rPr>
          <w:rFonts w:eastAsia="Malgun Gothic"/>
        </w:rPr>
        <w:t xml:space="preserve">we prefer Option 1-1 since it can be achieved by the current specification with minimum enhancements. In the case of periodic CSI reporting and semi-persistent CSI reporting on PUSCH, UE can be </w:t>
      </w:r>
      <w:r w:rsidRPr="006F1BEF">
        <w:rPr>
          <w:lang w:val="en-US"/>
        </w:rPr>
        <w:t>configured with multiple CSI reporting Configurations (</w:t>
      </w:r>
      <w:r w:rsidRPr="006F1BEF">
        <w:rPr>
          <w:rFonts w:eastAsia="Malgun Gothic" w:cs="Times"/>
          <w:i/>
          <w:iCs/>
          <w:lang w:eastAsia="zh-CN"/>
        </w:rPr>
        <w:t>CSI-ReportConfig</w:t>
      </w:r>
      <w:r w:rsidRPr="00E6612D">
        <w:t>)</w:t>
      </w:r>
      <w:r>
        <w:t>. One CSI reporting configuration can be assigned to each SBFD slot type. A</w:t>
      </w:r>
      <w:r w:rsidR="005B4240">
        <w:t xml:space="preserve"> new higher layer parameter (e.g., </w:t>
      </w:r>
      <w:r w:rsidR="005B4240" w:rsidRPr="005B4240">
        <w:rPr>
          <w:i/>
          <w:iCs/>
        </w:rPr>
        <w:t>slotType</w:t>
      </w:r>
      <w:r w:rsidR="005B4240">
        <w:t xml:space="preserve">) can be provided </w:t>
      </w:r>
      <w:r w:rsidR="005B4240">
        <w:rPr>
          <w:rFonts w:eastAsia="Malgun Gothic" w:cs="Times"/>
          <w:i/>
          <w:iCs/>
          <w:lang w:eastAsia="zh-CN"/>
        </w:rPr>
        <w:t xml:space="preserve">CSI-ResourceConfig </w:t>
      </w:r>
      <w:r w:rsidR="005B4240" w:rsidRPr="006F1BEF">
        <w:rPr>
          <w:rFonts w:eastAsia="Malgun Gothic" w:cs="Times"/>
          <w:lang w:eastAsia="zh-CN"/>
        </w:rPr>
        <w:t>to indicate the slot type for which the CSI</w:t>
      </w:r>
      <w:r w:rsidR="005B4240">
        <w:rPr>
          <w:rFonts w:eastAsia="Malgun Gothic" w:cs="Times"/>
          <w:lang w:eastAsia="zh-CN"/>
        </w:rPr>
        <w:t xml:space="preserve">-RS resource </w:t>
      </w:r>
      <w:r w:rsidR="005B4240" w:rsidRPr="006F1BEF">
        <w:rPr>
          <w:rFonts w:eastAsia="Malgun Gothic" w:cs="Times"/>
          <w:lang w:eastAsia="zh-CN"/>
        </w:rPr>
        <w:t xml:space="preserve">configuration is applied. </w:t>
      </w:r>
      <w:r w:rsidR="001C75CC">
        <w:rPr>
          <w:rFonts w:eastAsia="Malgun Gothic" w:cs="Times"/>
          <w:lang w:eastAsia="zh-CN"/>
        </w:rPr>
        <w:t>Thus,</w:t>
      </w:r>
      <w:r w:rsidR="005B4240">
        <w:rPr>
          <w:rFonts w:eastAsia="Malgun Gothic" w:cs="Times"/>
          <w:lang w:eastAsia="zh-CN"/>
        </w:rPr>
        <w:t xml:space="preserve"> </w:t>
      </w:r>
      <w:r w:rsidR="005B4240" w:rsidRPr="006F1BEF">
        <w:rPr>
          <w:rFonts w:eastAsia="Malgun Gothic" w:cs="Times"/>
          <w:i/>
          <w:iCs/>
          <w:lang w:eastAsia="zh-CN"/>
        </w:rPr>
        <w:t>CSI-ReportConfig</w:t>
      </w:r>
      <w:r w:rsidR="000C7D35">
        <w:rPr>
          <w:rFonts w:eastAsia="Malgun Gothic" w:cs="Times"/>
          <w:i/>
          <w:iCs/>
          <w:lang w:eastAsia="zh-CN"/>
        </w:rPr>
        <w:t xml:space="preserve"> </w:t>
      </w:r>
      <w:r w:rsidR="000C7D35">
        <w:rPr>
          <w:rFonts w:eastAsia="Malgun Gothic" w:cs="Times"/>
          <w:lang w:eastAsia="zh-CN"/>
        </w:rPr>
        <w:t xml:space="preserve">associated </w:t>
      </w:r>
      <w:r w:rsidR="000C7D35">
        <w:rPr>
          <w:rFonts w:eastAsia="Malgun Gothic" w:cs="Times"/>
          <w:i/>
          <w:iCs/>
          <w:lang w:eastAsia="zh-CN"/>
        </w:rPr>
        <w:t>CSI-ResourceConfig</w:t>
      </w:r>
      <w:r w:rsidR="001C75CC">
        <w:rPr>
          <w:rFonts w:eastAsia="Malgun Gothic" w:cs="Times"/>
          <w:i/>
          <w:iCs/>
          <w:lang w:eastAsia="zh-CN"/>
        </w:rPr>
        <w:t xml:space="preserve"> </w:t>
      </w:r>
      <w:r w:rsidR="001C75CC">
        <w:rPr>
          <w:rFonts w:eastAsia="Malgun Gothic" w:cs="Times"/>
          <w:lang w:eastAsia="zh-CN"/>
        </w:rPr>
        <w:t xml:space="preserve">is used to provide CSI reports based on measurement performed on the sets of slots indicated by </w:t>
      </w:r>
      <w:r w:rsidR="001C75CC" w:rsidRPr="005B4240">
        <w:rPr>
          <w:i/>
          <w:iCs/>
        </w:rPr>
        <w:t>slotType</w:t>
      </w:r>
      <w:r w:rsidR="001C75CC">
        <w:rPr>
          <w:i/>
          <w:iCs/>
        </w:rPr>
        <w:t xml:space="preserve">. </w:t>
      </w:r>
      <w:r w:rsidR="001C75CC">
        <w:rPr>
          <w:rFonts w:eastAsia="Malgun Gothic" w:cs="Times"/>
          <w:i/>
          <w:iCs/>
          <w:lang w:eastAsia="zh-CN"/>
        </w:rPr>
        <w:t xml:space="preserve"> </w:t>
      </w:r>
    </w:p>
    <w:p w14:paraId="2E3E8E18" w14:textId="77777777" w:rsidR="0015475A" w:rsidRPr="006F1BEF" w:rsidRDefault="0015475A" w:rsidP="0015475A">
      <w:pPr>
        <w:jc w:val="both"/>
        <w:rPr>
          <w:lang w:val="en-US"/>
        </w:rPr>
      </w:pPr>
      <w:r w:rsidRPr="006F1BEF">
        <w:rPr>
          <w:rFonts w:eastAsia="Malgun Gothic" w:cs="Times"/>
          <w:lang w:eastAsia="zh-CN"/>
        </w:rPr>
        <w:t>In the case of</w:t>
      </w:r>
      <w:r w:rsidRPr="006F1BEF">
        <w:t xml:space="preserve"> </w:t>
      </w:r>
      <w:r>
        <w:t>s</w:t>
      </w:r>
      <w:r w:rsidRPr="006F1BEF">
        <w:t>emi-persistent CSI Reporting on PUCCH</w:t>
      </w:r>
      <w:r>
        <w:t xml:space="preserve">, up to 4 CSI reporting configurations are provided by RRC. A </w:t>
      </w:r>
      <w:r w:rsidRPr="002F6032">
        <w:rPr>
          <w:lang w:val="en-US"/>
        </w:rPr>
        <w:t xml:space="preserve">MAC CE </w:t>
      </w:r>
      <w:r>
        <w:rPr>
          <w:lang w:val="en-US"/>
        </w:rPr>
        <w:t>activation command can be used to activate one reporting configuration</w:t>
      </w:r>
      <w:r w:rsidRPr="002F6032">
        <w:rPr>
          <w:lang w:val="en-US"/>
        </w:rPr>
        <w:t xml:space="preserve"> for use by the UE on PUCCH</w:t>
      </w:r>
      <w:r>
        <w:rPr>
          <w:lang w:val="en-US"/>
        </w:rPr>
        <w:t xml:space="preserve">. This restriction limits the ability to configure one </w:t>
      </w:r>
      <w:r w:rsidRPr="006F1BEF">
        <w:rPr>
          <w:rFonts w:eastAsia="Malgun Gothic" w:cs="Times"/>
          <w:i/>
          <w:iCs/>
          <w:lang w:eastAsia="zh-CN"/>
        </w:rPr>
        <w:t>CSI-ReportConfig</w:t>
      </w:r>
      <w:r>
        <w:rPr>
          <w:rFonts w:eastAsia="Malgun Gothic" w:cs="Times"/>
          <w:i/>
          <w:iCs/>
          <w:lang w:eastAsia="zh-CN"/>
        </w:rPr>
        <w:t xml:space="preserve"> </w:t>
      </w:r>
      <w:r>
        <w:rPr>
          <w:rFonts w:eastAsia="Malgun Gothic" w:cs="Times"/>
          <w:lang w:eastAsia="zh-CN"/>
        </w:rPr>
        <w:t xml:space="preserve">for each slot type. Therefore, this restriction can be relaxed to enable the MAC CE </w:t>
      </w:r>
      <w:r>
        <w:rPr>
          <w:lang w:val="en-US"/>
        </w:rPr>
        <w:t>activation command to</w:t>
      </w:r>
      <w:r>
        <w:rPr>
          <w:rFonts w:eastAsia="Malgun Gothic" w:cs="Times"/>
          <w:lang w:eastAsia="zh-CN"/>
        </w:rPr>
        <w:t xml:space="preserve"> </w:t>
      </w:r>
      <w:r>
        <w:t xml:space="preserve">activate multiple (at least 2) CSI reporting configurations for SBFD operation. </w:t>
      </w:r>
    </w:p>
    <w:p w14:paraId="0B8C44FD" w14:textId="7023C423" w:rsidR="0015475A" w:rsidRDefault="0015475A" w:rsidP="00112807">
      <w:pPr>
        <w:spacing w:after="120"/>
        <w:jc w:val="both"/>
        <w:rPr>
          <w:b/>
          <w:bCs/>
          <w:i/>
          <w:iCs/>
        </w:rPr>
      </w:pPr>
      <w:bookmarkStart w:id="26" w:name="_Ref131537355"/>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6</w:t>
      </w:r>
      <w:r w:rsidRPr="004F0D45">
        <w:rPr>
          <w:b/>
          <w:bCs/>
          <w:i/>
          <w:iCs/>
        </w:rPr>
        <w:fldChar w:fldCharType="end"/>
      </w:r>
      <w:r w:rsidRPr="004F0D45">
        <w:t>:</w:t>
      </w:r>
      <w:r>
        <w:t xml:space="preserve"> </w:t>
      </w:r>
      <w:r w:rsidRPr="004F0D45">
        <w:rPr>
          <w:b/>
          <w:bCs/>
          <w:i/>
          <w:iCs/>
        </w:rPr>
        <w:t>For periodic/semi-persistent CSI reporting</w:t>
      </w:r>
      <w:r>
        <w:rPr>
          <w:b/>
          <w:bCs/>
          <w:i/>
          <w:iCs/>
        </w:rPr>
        <w:t xml:space="preserve"> PUSCH</w:t>
      </w:r>
      <w:r w:rsidRPr="004F0D45">
        <w:rPr>
          <w:b/>
          <w:bCs/>
          <w:i/>
          <w:iCs/>
        </w:rPr>
        <w:t>, Option 1-1</w:t>
      </w:r>
      <w:r>
        <w:rPr>
          <w:b/>
          <w:bCs/>
          <w:i/>
          <w:iCs/>
        </w:rPr>
        <w:t xml:space="preserve"> </w:t>
      </w:r>
      <w:r w:rsidRPr="004F0D45">
        <w:rPr>
          <w:b/>
          <w:bCs/>
          <w:i/>
          <w:iCs/>
        </w:rPr>
        <w:t>for CSI report associated with periodic/semi-persistent CSI-RS</w:t>
      </w:r>
      <w:r>
        <w:rPr>
          <w:b/>
          <w:bCs/>
          <w:i/>
          <w:iCs/>
        </w:rPr>
        <w:t xml:space="preserve"> can be achieved by </w:t>
      </w:r>
      <w:r w:rsidRPr="004F0D45">
        <w:rPr>
          <w:b/>
          <w:bCs/>
          <w:i/>
          <w:iCs/>
        </w:rPr>
        <w:t>the existing specification</w:t>
      </w:r>
      <w:bookmarkEnd w:id="26"/>
      <w:r w:rsidR="00410A14">
        <w:rPr>
          <w:b/>
          <w:bCs/>
          <w:i/>
          <w:iCs/>
        </w:rPr>
        <w:t>.</w:t>
      </w:r>
    </w:p>
    <w:p w14:paraId="1F3F518A" w14:textId="6BE3BA72" w:rsidR="0015475A" w:rsidRPr="006F1BEF" w:rsidRDefault="0015475A" w:rsidP="00112807">
      <w:pPr>
        <w:spacing w:after="120"/>
        <w:jc w:val="both"/>
        <w:rPr>
          <w:b/>
          <w:bCs/>
          <w:i/>
          <w:iCs/>
          <w:lang w:val="en-US"/>
        </w:rPr>
      </w:pPr>
      <w:bookmarkStart w:id="27" w:name="_Ref15900771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7</w:t>
      </w:r>
      <w:r w:rsidRPr="004F0D45">
        <w:rPr>
          <w:b/>
          <w:bCs/>
          <w:i/>
          <w:iCs/>
        </w:rPr>
        <w:fldChar w:fldCharType="end"/>
      </w:r>
      <w:r w:rsidRPr="004F0D45">
        <w:t xml:space="preserve">: </w:t>
      </w:r>
      <w:r>
        <w:rPr>
          <w:b/>
          <w:bCs/>
          <w:i/>
          <w:iCs/>
        </w:rPr>
        <w:t>To support slot-specific</w:t>
      </w:r>
      <w:r w:rsidRPr="004F0D45">
        <w:rPr>
          <w:b/>
          <w:bCs/>
          <w:i/>
          <w:iCs/>
        </w:rPr>
        <w:t xml:space="preserve"> semi-persistent CSI reporting</w:t>
      </w:r>
      <w:r>
        <w:rPr>
          <w:b/>
          <w:bCs/>
          <w:i/>
          <w:iCs/>
        </w:rPr>
        <w:t xml:space="preserve"> PUCCH</w:t>
      </w:r>
      <w:r w:rsidRPr="004F0D45">
        <w:rPr>
          <w:b/>
          <w:bCs/>
          <w:i/>
          <w:iCs/>
        </w:rPr>
        <w:t xml:space="preserve">, </w:t>
      </w:r>
      <w:r>
        <w:rPr>
          <w:b/>
          <w:bCs/>
          <w:i/>
          <w:iCs/>
        </w:rPr>
        <w:t xml:space="preserve">multiple </w:t>
      </w:r>
      <w:r w:rsidRPr="00D46A3C">
        <w:rPr>
          <w:b/>
          <w:bCs/>
          <w:i/>
          <w:iCs/>
          <w:lang w:val="en-US"/>
        </w:rPr>
        <w:t>CSI report configuration</w:t>
      </w:r>
      <w:r>
        <w:rPr>
          <w:b/>
          <w:bCs/>
          <w:i/>
          <w:iCs/>
          <w:lang w:val="en-US"/>
        </w:rPr>
        <w:t xml:space="preserve"> must be activated by MAC CE</w:t>
      </w:r>
      <w:bookmarkEnd w:id="27"/>
      <w:r w:rsidR="00410A14">
        <w:rPr>
          <w:b/>
          <w:bCs/>
          <w:i/>
          <w:iCs/>
          <w:lang w:val="en-US"/>
        </w:rPr>
        <w:t>.</w:t>
      </w:r>
    </w:p>
    <w:p w14:paraId="5B27D460" w14:textId="76EF973B" w:rsidR="0015475A" w:rsidRPr="0016580F" w:rsidRDefault="0015475A" w:rsidP="00112807">
      <w:pPr>
        <w:spacing w:after="120"/>
        <w:jc w:val="both"/>
        <w:rPr>
          <w:b/>
          <w:bCs/>
          <w:i/>
          <w:iCs/>
        </w:rPr>
      </w:pPr>
      <w:bookmarkStart w:id="28" w:name="_Ref131537687"/>
      <w:r w:rsidRPr="0016580F">
        <w:rPr>
          <w:b/>
          <w:bCs/>
          <w:i/>
          <w:iCs/>
        </w:rPr>
        <w:t xml:space="preserve">Proposal </w:t>
      </w:r>
      <w:r w:rsidRPr="0016580F">
        <w:rPr>
          <w:b/>
          <w:bCs/>
          <w:i/>
          <w:iCs/>
        </w:rPr>
        <w:fldChar w:fldCharType="begin"/>
      </w:r>
      <w:r w:rsidRPr="0016580F">
        <w:rPr>
          <w:b/>
          <w:bCs/>
          <w:i/>
          <w:iCs/>
        </w:rPr>
        <w:instrText xml:space="preserve"> SEQ Proposal \* ARABIC </w:instrText>
      </w:r>
      <w:r w:rsidRPr="0016580F">
        <w:rPr>
          <w:b/>
          <w:bCs/>
          <w:i/>
          <w:iCs/>
        </w:rPr>
        <w:fldChar w:fldCharType="separate"/>
      </w:r>
      <w:r w:rsidR="00CA6417">
        <w:rPr>
          <w:b/>
          <w:bCs/>
          <w:i/>
          <w:iCs/>
          <w:noProof/>
        </w:rPr>
        <w:t>12</w:t>
      </w:r>
      <w:r w:rsidRPr="0016580F">
        <w:rPr>
          <w:b/>
          <w:bCs/>
          <w:i/>
          <w:iCs/>
        </w:rPr>
        <w:fldChar w:fldCharType="end"/>
      </w:r>
      <w:r w:rsidRPr="0016580F">
        <w:rPr>
          <w:rFonts w:cstheme="minorHAnsi"/>
          <w:b/>
          <w:bCs/>
          <w:i/>
          <w:iCs/>
        </w:rPr>
        <w:t xml:space="preserve">: </w:t>
      </w:r>
      <w:r w:rsidRPr="0016580F">
        <w:rPr>
          <w:b/>
          <w:bCs/>
          <w:i/>
          <w:iCs/>
        </w:rPr>
        <w:t>Option 1-1</w:t>
      </w:r>
      <w:r w:rsidR="0016580F" w:rsidRPr="0016580F">
        <w:rPr>
          <w:b/>
          <w:bCs/>
          <w:i/>
          <w:iCs/>
        </w:rPr>
        <w:t xml:space="preserve"> </w:t>
      </w:r>
      <w:r w:rsidRPr="0016580F">
        <w:rPr>
          <w:b/>
          <w:bCs/>
          <w:i/>
          <w:iCs/>
        </w:rPr>
        <w:t>for CSI report</w:t>
      </w:r>
      <w:r w:rsidR="0016580F" w:rsidRPr="0016580F">
        <w:rPr>
          <w:b/>
          <w:bCs/>
          <w:i/>
          <w:iCs/>
        </w:rPr>
        <w:t>ing, as specified in current NR specs, is considered the baseline for SBFD operation. Other options can be considered if they show considerable performance gains</w:t>
      </w:r>
      <w:r w:rsidRPr="0016580F">
        <w:rPr>
          <w:b/>
          <w:bCs/>
          <w:i/>
          <w:iCs/>
        </w:rPr>
        <w:t>.</w:t>
      </w:r>
      <w:bookmarkEnd w:id="28"/>
    </w:p>
    <w:p w14:paraId="0DBB170C" w14:textId="4ED63FEC" w:rsidR="0015475A" w:rsidRPr="00B629AD" w:rsidRDefault="0015475A" w:rsidP="00B629AD">
      <w:pPr>
        <w:spacing w:after="120"/>
        <w:jc w:val="both"/>
        <w:rPr>
          <w:i/>
          <w:iCs/>
        </w:rPr>
      </w:pPr>
      <w:bookmarkStart w:id="29" w:name="_Ref159007918"/>
      <w:r w:rsidRPr="0016580F">
        <w:rPr>
          <w:b/>
          <w:bCs/>
          <w:i/>
          <w:iCs/>
        </w:rPr>
        <w:t xml:space="preserve">Proposal </w:t>
      </w:r>
      <w:r w:rsidRPr="0016580F">
        <w:rPr>
          <w:b/>
          <w:bCs/>
          <w:i/>
          <w:iCs/>
        </w:rPr>
        <w:fldChar w:fldCharType="begin"/>
      </w:r>
      <w:r w:rsidRPr="0016580F">
        <w:rPr>
          <w:b/>
          <w:bCs/>
          <w:i/>
          <w:iCs/>
        </w:rPr>
        <w:instrText xml:space="preserve"> SEQ Proposal \* ARABIC </w:instrText>
      </w:r>
      <w:r w:rsidRPr="0016580F">
        <w:rPr>
          <w:b/>
          <w:bCs/>
          <w:i/>
          <w:iCs/>
        </w:rPr>
        <w:fldChar w:fldCharType="separate"/>
      </w:r>
      <w:r w:rsidR="00CA6417">
        <w:rPr>
          <w:b/>
          <w:bCs/>
          <w:i/>
          <w:iCs/>
          <w:noProof/>
        </w:rPr>
        <w:t>13</w:t>
      </w:r>
      <w:r w:rsidRPr="0016580F">
        <w:rPr>
          <w:b/>
          <w:bCs/>
          <w:i/>
          <w:iCs/>
        </w:rPr>
        <w:fldChar w:fldCharType="end"/>
      </w:r>
      <w:r w:rsidRPr="0016580F">
        <w:rPr>
          <w:rFonts w:cstheme="minorHAnsi"/>
          <w:b/>
          <w:bCs/>
          <w:i/>
          <w:iCs/>
        </w:rPr>
        <w:t xml:space="preserve">: </w:t>
      </w:r>
      <w:r w:rsidRPr="0016580F">
        <w:rPr>
          <w:b/>
          <w:bCs/>
          <w:i/>
          <w:iCs/>
        </w:rPr>
        <w:t>For semi-persistent CSI reporting PUCCH, allow MAC CE to activate at least 2 CSI reporting configurations, one for each slot type.</w:t>
      </w:r>
      <w:bookmarkEnd w:id="29"/>
      <w:r>
        <w:rPr>
          <w:b/>
          <w:bCs/>
          <w:i/>
          <w:iCs/>
        </w:rPr>
        <w:t xml:space="preserve"> </w:t>
      </w:r>
    </w:p>
    <w:p w14:paraId="357FDA4A" w14:textId="77777777" w:rsidR="001E6A08" w:rsidRDefault="001E6A08" w:rsidP="001E6A08">
      <w:pPr>
        <w:pStyle w:val="Heading4"/>
      </w:pPr>
      <w:r>
        <w:t xml:space="preserve">Resource Allocation for Multi-slot Transmissions        </w:t>
      </w:r>
    </w:p>
    <w:tbl>
      <w:tblPr>
        <w:tblStyle w:val="TableGrid"/>
        <w:tblW w:w="0" w:type="auto"/>
        <w:tblLook w:val="04A0" w:firstRow="1" w:lastRow="0" w:firstColumn="1" w:lastColumn="0" w:noHBand="0" w:noVBand="1"/>
      </w:tblPr>
      <w:tblGrid>
        <w:gridCol w:w="9629"/>
      </w:tblGrid>
      <w:tr w:rsidR="001E6A08" w:rsidRPr="004F0D45" w14:paraId="7243B921" w14:textId="77777777" w:rsidTr="00623DE1">
        <w:tc>
          <w:tcPr>
            <w:tcW w:w="9629" w:type="dxa"/>
          </w:tcPr>
          <w:p w14:paraId="43B1E042" w14:textId="77777777" w:rsidR="001E6A08" w:rsidRPr="004F0D45" w:rsidRDefault="001E6A08" w:rsidP="00623DE1">
            <w:pPr>
              <w:spacing w:after="0"/>
              <w:rPr>
                <w:rFonts w:eastAsia="Malgun Gothic"/>
                <w:b/>
                <w:lang w:eastAsia="zh-CN"/>
              </w:rPr>
            </w:pPr>
            <w:bookmarkStart w:id="30" w:name="_Hlk140832558"/>
            <w:r w:rsidRPr="004F0D45">
              <w:rPr>
                <w:rFonts w:eastAsia="Malgun Gothic" w:hint="eastAsia"/>
                <w:b/>
                <w:lang w:eastAsia="zh-CN"/>
              </w:rPr>
              <w:t>Agreement</w:t>
            </w:r>
            <w:r w:rsidRPr="004F0D45">
              <w:rPr>
                <w:rFonts w:eastAsia="Malgun Gothic"/>
                <w:b/>
                <w:lang w:eastAsia="zh-CN"/>
              </w:rPr>
              <w:t xml:space="preserve"> </w:t>
            </w:r>
            <w:r w:rsidRPr="004F0D45">
              <w:rPr>
                <w:rFonts w:ascii="Times" w:eastAsia="Times New Roman" w:hAnsi="Times" w:cs="Times"/>
                <w:b/>
                <w:bCs/>
                <w:lang w:eastAsia="en-GB"/>
              </w:rPr>
              <w:t>RAN1#112bis-e</w:t>
            </w:r>
          </w:p>
          <w:p w14:paraId="19F52BE8" w14:textId="77777777" w:rsidR="001E6A08" w:rsidRPr="00874C09" w:rsidRDefault="001E6A08" w:rsidP="00623DE1">
            <w:pPr>
              <w:spacing w:after="0"/>
              <w:rPr>
                <w:rFonts w:cs="Times"/>
                <w:lang w:eastAsia="zh-CN"/>
              </w:rPr>
            </w:pPr>
            <w:r w:rsidRPr="00874C09">
              <w:rPr>
                <w:rFonts w:eastAsia="Malgun Gothic" w:cs="Times"/>
              </w:rPr>
              <w:t>For UL transmissions and DL receptions across SBFD symbols and non-SBFD symbols in different slots (each transmission/reception within a slot has either all SBFD or all non-SBFD symbols)</w:t>
            </w:r>
            <w:r w:rsidRPr="00874C09">
              <w:rPr>
                <w:rFonts w:eastAsia="Malgun Gothic" w:cs="Times"/>
                <w:lang w:eastAsia="zh-CN"/>
              </w:rPr>
              <w:t xml:space="preserve">, if the </w:t>
            </w:r>
            <w:r w:rsidRPr="00874C09">
              <w:rPr>
                <w:rFonts w:eastAsia="Malgun Gothic" w:cs="Times"/>
              </w:rPr>
              <w:t>transmissions/receptions can be in SBFD symbols and non-SBFD symbols</w:t>
            </w:r>
            <w:r w:rsidRPr="00874C09">
              <w:rPr>
                <w:rFonts w:eastAsia="Malgun Gothic" w:cs="Times"/>
                <w:lang w:eastAsia="zh-CN"/>
              </w:rPr>
              <w:t xml:space="preserve"> with different available resources, study at least the following frequency resource allocation options for </w:t>
            </w:r>
            <w:r w:rsidRPr="00874C09">
              <w:rPr>
                <w:rFonts w:cs="Times"/>
                <w:lang w:eastAsia="zh-CN"/>
              </w:rPr>
              <w:t>PDSCH, CSI-RS, PUSCH, PUCCH, SRS for SBFD-aware UE:</w:t>
            </w:r>
          </w:p>
          <w:p w14:paraId="6DA21448" w14:textId="77777777" w:rsidR="001E6A08" w:rsidRPr="00874C09" w:rsidRDefault="001E6A08" w:rsidP="001E6A08">
            <w:pPr>
              <w:numPr>
                <w:ilvl w:val="0"/>
                <w:numId w:val="28"/>
              </w:numPr>
              <w:spacing w:after="0"/>
              <w:rPr>
                <w:rFonts w:eastAsia="Malgun Gothic" w:cs="Times"/>
                <w:lang w:eastAsia="zh-CN"/>
              </w:rPr>
            </w:pPr>
            <w:r w:rsidRPr="00874C09">
              <w:rPr>
                <w:rFonts w:eastAsia="Malgun Gothic" w:cs="Times"/>
                <w:lang w:eastAsia="zh-CN"/>
              </w:rPr>
              <w:t xml:space="preserve">Option 1: Separate FDRA determination for SBFD slots and non-SBFD slots. </w:t>
            </w:r>
          </w:p>
          <w:p w14:paraId="7DF1066A" w14:textId="77777777" w:rsidR="001E6A08" w:rsidRPr="00874C09" w:rsidRDefault="001E6A08" w:rsidP="001E6A08">
            <w:pPr>
              <w:numPr>
                <w:ilvl w:val="1"/>
                <w:numId w:val="28"/>
              </w:numPr>
              <w:spacing w:after="0"/>
              <w:rPr>
                <w:rFonts w:eastAsia="Malgun Gothic" w:cs="Times"/>
                <w:lang w:eastAsia="zh-CN"/>
              </w:rPr>
            </w:pPr>
            <w:r w:rsidRPr="00874C09">
              <w:rPr>
                <w:rFonts w:eastAsia="Malgun Gothic" w:cs="Times"/>
                <w:lang w:eastAsia="zh-CN"/>
              </w:rPr>
              <w:t>Option 1-1: Separate FDRA configurations/indications for SBFD slots and non-SBFD slots</w:t>
            </w:r>
          </w:p>
          <w:p w14:paraId="228FFEE1" w14:textId="77777777" w:rsidR="001E6A08" w:rsidRPr="00874C09" w:rsidRDefault="001E6A08" w:rsidP="001E6A08">
            <w:pPr>
              <w:numPr>
                <w:ilvl w:val="1"/>
                <w:numId w:val="28"/>
              </w:numPr>
              <w:spacing w:after="0"/>
              <w:rPr>
                <w:rFonts w:eastAsia="Malgun Gothic" w:cs="Times"/>
                <w:lang w:eastAsia="zh-CN"/>
              </w:rPr>
            </w:pPr>
            <w:r w:rsidRPr="00874C09">
              <w:rPr>
                <w:rFonts w:eastAsia="Malgun Gothic" w:cs="Times"/>
                <w:lang w:eastAsia="zh-CN"/>
              </w:rPr>
              <w:t xml:space="preserve">Option 1-2: Separate frequency resources determined for SBFD slots and non-SBFD slots based on single FDRA configuration/indication </w:t>
            </w:r>
          </w:p>
          <w:p w14:paraId="0931C6A6" w14:textId="77777777" w:rsidR="001E6A08" w:rsidRPr="00874C09" w:rsidRDefault="001E6A08" w:rsidP="001E6A08">
            <w:pPr>
              <w:numPr>
                <w:ilvl w:val="1"/>
                <w:numId w:val="28"/>
              </w:numPr>
              <w:spacing w:after="0"/>
              <w:rPr>
                <w:rFonts w:eastAsia="Malgun Gothic" w:cs="Times"/>
                <w:lang w:eastAsia="zh-CN"/>
              </w:rPr>
            </w:pPr>
            <w:r w:rsidRPr="00874C09">
              <w:rPr>
                <w:rFonts w:eastAsia="Malgun Gothic" w:cs="Times"/>
                <w:lang w:eastAsia="zh-CN"/>
              </w:rPr>
              <w:t>Option 1-3: single FDRA configuration/indication and RB offset(s)</w:t>
            </w:r>
          </w:p>
          <w:p w14:paraId="559E77AA" w14:textId="77777777" w:rsidR="001E6A08" w:rsidRPr="00874C09" w:rsidRDefault="001E6A08" w:rsidP="001E6A08">
            <w:pPr>
              <w:numPr>
                <w:ilvl w:val="0"/>
                <w:numId w:val="28"/>
              </w:numPr>
              <w:spacing w:after="0"/>
              <w:rPr>
                <w:rFonts w:eastAsia="Malgun Gothic" w:cs="Times"/>
                <w:lang w:eastAsia="zh-CN"/>
              </w:rPr>
            </w:pPr>
            <w:r w:rsidRPr="00874C09">
              <w:rPr>
                <w:rFonts w:eastAsia="Malgun Gothic" w:cs="Times"/>
                <w:lang w:eastAsia="zh-CN"/>
              </w:rPr>
              <w:t xml:space="preserve">Option 2: Perform rate matching or puncturing on the RBs outside DL/UL subbands for DL/UL channels/signals. </w:t>
            </w:r>
          </w:p>
          <w:p w14:paraId="3B6198CA" w14:textId="77777777" w:rsidR="001E6A08" w:rsidRPr="00874C09" w:rsidRDefault="001E6A08" w:rsidP="001E6A08">
            <w:pPr>
              <w:numPr>
                <w:ilvl w:val="0"/>
                <w:numId w:val="28"/>
              </w:numPr>
              <w:spacing w:after="0"/>
              <w:rPr>
                <w:rFonts w:eastAsia="Malgun Gothic" w:cs="Times"/>
                <w:lang w:eastAsia="zh-CN"/>
              </w:rPr>
            </w:pPr>
            <w:r w:rsidRPr="00874C09">
              <w:rPr>
                <w:rFonts w:eastAsia="Malgun Gothic" w:cs="Times"/>
                <w:lang w:eastAsia="zh-CN"/>
              </w:rPr>
              <w:t>Option 3: A DL/UL channel/signal overlapping with RBs outside DL/UL subbands in a SBFD slot is dropped or postponed.</w:t>
            </w:r>
          </w:p>
          <w:p w14:paraId="2A2F43AB" w14:textId="77777777" w:rsidR="001E6A08" w:rsidRPr="0016343F" w:rsidRDefault="001E6A08" w:rsidP="00623DE1">
            <w:pPr>
              <w:spacing w:after="0"/>
              <w:rPr>
                <w:rFonts w:eastAsia="Malgun Gothic" w:cs="Times"/>
                <w:lang w:eastAsia="x-none"/>
              </w:rPr>
            </w:pPr>
            <w:r w:rsidRPr="00874C09">
              <w:rPr>
                <w:rFonts w:eastAsia="Malgun Gothic" w:cs="Times"/>
                <w:lang w:eastAsia="ko-KR"/>
              </w:rPr>
              <w:t>Note: Different options can be studied for different signals/channels.</w:t>
            </w:r>
          </w:p>
        </w:tc>
      </w:tr>
      <w:bookmarkEnd w:id="30"/>
    </w:tbl>
    <w:p w14:paraId="527389F2" w14:textId="30A02C96" w:rsidR="001E6A08" w:rsidRDefault="001E6A08" w:rsidP="009B1CD2">
      <w:pPr>
        <w:spacing w:after="0"/>
        <w:jc w:val="both"/>
      </w:pPr>
    </w:p>
    <w:p w14:paraId="003B250B" w14:textId="02B932D3" w:rsidR="001E6A08" w:rsidRDefault="001E6A08" w:rsidP="00B629AD">
      <w:pPr>
        <w:spacing w:after="0"/>
        <w:jc w:val="both"/>
        <w:textAlignment w:val="center"/>
        <w:rPr>
          <w:rFonts w:eastAsia="Times New Roman"/>
          <w:lang w:eastAsia="da-DK"/>
        </w:rPr>
      </w:pPr>
      <w:r>
        <w:t>Three</w:t>
      </w:r>
      <w:r w:rsidRPr="004F0D45">
        <w:t xml:space="preserve"> </w:t>
      </w:r>
      <w:r>
        <w:t>frequency resource allocation</w:t>
      </w:r>
      <w:r w:rsidRPr="004F0D45">
        <w:t xml:space="preserve"> options were agreed for </w:t>
      </w:r>
      <w:r>
        <w:rPr>
          <w:rFonts w:eastAsia="Malgun Gothic" w:cs="Times"/>
        </w:rPr>
        <w:t>uplink</w:t>
      </w:r>
      <w:r w:rsidRPr="00874C09">
        <w:rPr>
          <w:rFonts w:eastAsia="Malgun Gothic" w:cs="Times"/>
        </w:rPr>
        <w:t xml:space="preserve"> transmissions and </w:t>
      </w:r>
      <w:r>
        <w:rPr>
          <w:rFonts w:eastAsia="Malgun Gothic" w:cs="Times"/>
        </w:rPr>
        <w:t>downlink</w:t>
      </w:r>
      <w:r w:rsidRPr="00874C09">
        <w:rPr>
          <w:rFonts w:eastAsia="Malgun Gothic" w:cs="Times"/>
        </w:rPr>
        <w:t xml:space="preserve"> receptions across SBFD symbols and non-SBFD symbols in different slots</w:t>
      </w:r>
      <w:r w:rsidRPr="004F0D45">
        <w:rPr>
          <w:rFonts w:eastAsia="Malgun Gothic"/>
        </w:rPr>
        <w:t xml:space="preserve">. </w:t>
      </w:r>
      <w:r>
        <w:rPr>
          <w:rFonts w:eastAsia="Malgun Gothic"/>
        </w:rPr>
        <w:t xml:space="preserve">These options have been proposed to enable flexibility in resource allocation </w:t>
      </w:r>
      <w:r>
        <w:rPr>
          <w:rFonts w:eastAsia="Times New Roman"/>
          <w:lang w:eastAsia="da-DK"/>
        </w:rPr>
        <w:t xml:space="preserve">– considering the different resource availability SBFD </w:t>
      </w:r>
      <w:r w:rsidRPr="004F0D45">
        <w:rPr>
          <w:rFonts w:eastAsia="Times New Roman"/>
          <w:lang w:eastAsia="da-DK"/>
        </w:rPr>
        <w:t>and non-SBFD slots/symbols.</w:t>
      </w:r>
      <w:r>
        <w:rPr>
          <w:rFonts w:eastAsia="Times New Roman"/>
          <w:lang w:eastAsia="da-DK"/>
        </w:rPr>
        <w:t xml:space="preserve"> As an example, FDRA for </w:t>
      </w:r>
      <w:r w:rsidRPr="004F0D45">
        <w:rPr>
          <w:rFonts w:eastAsia="Times New Roman"/>
          <w:lang w:eastAsia="da-DK"/>
        </w:rPr>
        <w:t xml:space="preserve">Type-1 CG PUSCH the FDRA is across </w:t>
      </w:r>
      <w:r w:rsidR="00266287">
        <w:rPr>
          <w:rFonts w:eastAsia="Times New Roman"/>
          <w:lang w:eastAsia="da-DK"/>
        </w:rPr>
        <w:t>multiple</w:t>
      </w:r>
      <w:r w:rsidRPr="004F0D45">
        <w:rPr>
          <w:rFonts w:eastAsia="Times New Roman"/>
          <w:lang w:eastAsia="da-DK"/>
        </w:rPr>
        <w:t xml:space="preserve"> slots within </w:t>
      </w:r>
      <w:r w:rsidR="00266287">
        <w:rPr>
          <w:rFonts w:eastAsia="Times New Roman"/>
          <w:lang w:eastAsia="da-DK"/>
        </w:rPr>
        <w:t>a configured</w:t>
      </w:r>
      <w:r w:rsidRPr="004F0D45">
        <w:rPr>
          <w:rFonts w:eastAsia="Times New Roman"/>
          <w:lang w:eastAsia="da-DK"/>
        </w:rPr>
        <w:t xml:space="preserve"> periodicity</w:t>
      </w:r>
      <w:r>
        <w:rPr>
          <w:rFonts w:eastAsia="Times New Roman"/>
          <w:lang w:eastAsia="da-DK"/>
        </w:rPr>
        <w:t xml:space="preserve"> – which may overlap with downlink subbands in SBFD operation, as shown in </w:t>
      </w:r>
      <w:r w:rsidR="002C694B">
        <w:rPr>
          <w:rFonts w:eastAsia="Times New Roman"/>
          <w:lang w:eastAsia="da-DK"/>
        </w:rPr>
        <w:fldChar w:fldCharType="begin"/>
      </w:r>
      <w:r w:rsidR="002C694B">
        <w:rPr>
          <w:rFonts w:eastAsia="Times New Roman"/>
          <w:lang w:eastAsia="da-DK"/>
        </w:rPr>
        <w:instrText xml:space="preserve"> REF _Ref159008205 \h </w:instrText>
      </w:r>
      <w:r w:rsidR="002C694B">
        <w:rPr>
          <w:rFonts w:eastAsia="Times New Roman"/>
          <w:lang w:eastAsia="da-DK"/>
        </w:rPr>
      </w:r>
      <w:r w:rsidR="002C694B">
        <w:rPr>
          <w:rFonts w:eastAsia="Times New Roman"/>
          <w:lang w:eastAsia="da-DK"/>
        </w:rPr>
        <w:fldChar w:fldCharType="separate"/>
      </w:r>
      <w:r w:rsidR="00CA6417" w:rsidRPr="004F0D45">
        <w:rPr>
          <w:bdr w:val="none" w:sz="0" w:space="0" w:color="auto" w:frame="1"/>
        </w:rPr>
        <w:t xml:space="preserve">Figure </w:t>
      </w:r>
      <w:r w:rsidR="00CA6417">
        <w:rPr>
          <w:noProof/>
        </w:rPr>
        <w:t>3</w:t>
      </w:r>
      <w:r w:rsidR="002C694B">
        <w:rPr>
          <w:rFonts w:eastAsia="Times New Roman"/>
          <w:lang w:eastAsia="da-DK"/>
        </w:rPr>
        <w:fldChar w:fldCharType="end"/>
      </w:r>
      <w:r>
        <w:rPr>
          <w:rFonts w:eastAsia="Times New Roman"/>
          <w:lang w:eastAsia="da-DK"/>
        </w:rPr>
        <w:t xml:space="preserve">.   </w:t>
      </w:r>
    </w:p>
    <w:p w14:paraId="7808D0D6" w14:textId="77777777" w:rsidR="001E6A08" w:rsidRDefault="001E6A08" w:rsidP="00B629AD">
      <w:pPr>
        <w:spacing w:after="0"/>
        <w:jc w:val="both"/>
        <w:textAlignment w:val="center"/>
        <w:rPr>
          <w:rFonts w:eastAsia="Times New Roman"/>
          <w:lang w:eastAsia="da-DK"/>
        </w:rPr>
      </w:pPr>
    </w:p>
    <w:p w14:paraId="6CC55B3D" w14:textId="07D349B9" w:rsidR="001A608B" w:rsidRDefault="00261689" w:rsidP="00B629AD">
      <w:pPr>
        <w:spacing w:after="0"/>
        <w:jc w:val="both"/>
        <w:rPr>
          <w:lang w:val="en-US" w:eastAsia="en-GB"/>
        </w:rPr>
      </w:pPr>
      <w:r>
        <w:rPr>
          <w:lang w:eastAsia="en-GB"/>
        </w:rPr>
        <w:t xml:space="preserve">Option 1 of the above agreement can be supported for periodic/semi-persistent resource allocation (e.g., SPS, CG-PUSCH, PUCCH, SRS) since it can enable </w:t>
      </w:r>
      <w:r w:rsidRPr="004F0D45">
        <w:rPr>
          <w:lang w:eastAsia="en-GB"/>
        </w:rPr>
        <w:t>flexible and more efficient resource allocation in SBFD</w:t>
      </w:r>
      <w:r>
        <w:rPr>
          <w:lang w:eastAsia="en-GB"/>
        </w:rPr>
        <w:t xml:space="preserve"> operation.</w:t>
      </w:r>
      <w:r w:rsidR="001A608B">
        <w:rPr>
          <w:lang w:eastAsia="en-GB"/>
        </w:rPr>
        <w:t xml:space="preserve"> In the case of CG-PUSCH, as an example, a new higher layer parameter (e.g., </w:t>
      </w:r>
      <w:r w:rsidR="001A608B" w:rsidRPr="001A608B">
        <w:rPr>
          <w:lang w:val="en-US" w:eastAsia="en-GB"/>
        </w:rPr>
        <w:t>f</w:t>
      </w:r>
      <w:r w:rsidR="001A608B" w:rsidRPr="001A608B">
        <w:rPr>
          <w:i/>
          <w:iCs/>
          <w:lang w:val="en-US" w:eastAsia="en-GB"/>
        </w:rPr>
        <w:t>requencyDomainAllocation2</w:t>
      </w:r>
      <w:r w:rsidR="001A608B">
        <w:rPr>
          <w:lang w:eastAsia="en-GB"/>
        </w:rPr>
        <w:t xml:space="preserve">) can be provided, in addition to the existing parameter, </w:t>
      </w:r>
      <w:proofErr w:type="spellStart"/>
      <w:r w:rsidR="001A608B" w:rsidRPr="001A608B">
        <w:rPr>
          <w:lang w:val="en-US" w:eastAsia="en-GB"/>
        </w:rPr>
        <w:t>f</w:t>
      </w:r>
      <w:r w:rsidR="001A608B" w:rsidRPr="001A608B">
        <w:rPr>
          <w:i/>
          <w:iCs/>
          <w:lang w:val="en-US" w:eastAsia="en-GB"/>
        </w:rPr>
        <w:t>requencyDomainAllocation</w:t>
      </w:r>
      <w:proofErr w:type="spellEnd"/>
      <w:r w:rsidR="00FC7B47">
        <w:rPr>
          <w:lang w:val="en-US" w:eastAsia="en-GB"/>
        </w:rPr>
        <w:t xml:space="preserve"> (following Option 1-1).</w:t>
      </w:r>
      <w:r w:rsidR="001A608B">
        <w:rPr>
          <w:lang w:val="en-US" w:eastAsia="en-GB"/>
        </w:rPr>
        <w:t xml:space="preserve"> In this case, one of the two parameters provide FDRA for SBFD symbols, whereas the other parameter provides FDRA for non-SBFD symbols.</w:t>
      </w:r>
      <w:r w:rsidR="000667D3">
        <w:rPr>
          <w:lang w:val="en-US" w:eastAsia="en-GB"/>
        </w:rPr>
        <w:t xml:space="preserve"> </w:t>
      </w:r>
      <w:r w:rsidR="004F3A11">
        <w:rPr>
          <w:lang w:val="en-US" w:eastAsia="en-GB"/>
        </w:rPr>
        <w:t xml:space="preserve">A similar configuration can be used SPS, PUCCH and SRS FDRA. </w:t>
      </w:r>
      <w:r w:rsidR="001A608B">
        <w:rPr>
          <w:lang w:val="en-US" w:eastAsia="en-GB"/>
        </w:rPr>
        <w:t xml:space="preserve">  </w:t>
      </w:r>
    </w:p>
    <w:p w14:paraId="33D6053E" w14:textId="1D154B4B" w:rsidR="00261689" w:rsidRDefault="00261689" w:rsidP="00B629AD">
      <w:pPr>
        <w:spacing w:after="0"/>
        <w:jc w:val="both"/>
        <w:rPr>
          <w:lang w:eastAsia="en-GB"/>
        </w:rPr>
      </w:pPr>
    </w:p>
    <w:p w14:paraId="513AEC84" w14:textId="29F991CE" w:rsidR="00E860E7" w:rsidRDefault="00E860E7" w:rsidP="00E860E7">
      <w:pPr>
        <w:spacing w:after="0"/>
        <w:jc w:val="both"/>
        <w:rPr>
          <w:lang w:eastAsia="en-GB"/>
        </w:rPr>
      </w:pPr>
      <w:r>
        <w:rPr>
          <w:lang w:eastAsia="en-GB"/>
        </w:rPr>
        <w:t xml:space="preserve">Option 3 can also be supported, especially for repetitions. In this case the current specification can be reused in addition to a new rule that instructs UEs to </w:t>
      </w:r>
      <w:r w:rsidRPr="004F0D45">
        <w:rPr>
          <w:lang w:eastAsia="en-GB"/>
        </w:rPr>
        <w:t>transmit</w:t>
      </w:r>
      <w:r>
        <w:rPr>
          <w:lang w:eastAsia="en-GB"/>
        </w:rPr>
        <w:t xml:space="preserve">/receive repetitions </w:t>
      </w:r>
      <w:r w:rsidRPr="004F0D45">
        <w:rPr>
          <w:lang w:eastAsia="en-GB"/>
        </w:rPr>
        <w:t>on non-SBFD slots and skip</w:t>
      </w:r>
      <w:r>
        <w:rPr>
          <w:lang w:eastAsia="en-GB"/>
        </w:rPr>
        <w:t xml:space="preserve"> (drop or postpone)</w:t>
      </w:r>
      <w:r w:rsidRPr="004F0D45">
        <w:rPr>
          <w:lang w:eastAsia="en-GB"/>
        </w:rPr>
        <w:t xml:space="preserve"> transmission</w:t>
      </w:r>
      <w:r>
        <w:rPr>
          <w:lang w:eastAsia="en-GB"/>
        </w:rPr>
        <w:t>/reception</w:t>
      </w:r>
      <w:r w:rsidRPr="004F0D45">
        <w:rPr>
          <w:lang w:eastAsia="en-GB"/>
        </w:rPr>
        <w:t xml:space="preserve"> on SBFD slots</w:t>
      </w:r>
      <w:r>
        <w:rPr>
          <w:lang w:eastAsia="en-GB"/>
        </w:rPr>
        <w:t xml:space="preserve">. </w:t>
      </w:r>
    </w:p>
    <w:p w14:paraId="051573F4" w14:textId="5C9063DC" w:rsidR="00E860E7" w:rsidRDefault="00E860E7" w:rsidP="00B629AD">
      <w:pPr>
        <w:spacing w:after="0"/>
        <w:jc w:val="both"/>
        <w:rPr>
          <w:lang w:eastAsia="en-GB"/>
        </w:rPr>
      </w:pPr>
      <w:r>
        <w:rPr>
          <w:lang w:eastAsia="en-GB"/>
        </w:rPr>
        <w:t xml:space="preserve"> </w:t>
      </w:r>
    </w:p>
    <w:p w14:paraId="0BDB32AA" w14:textId="22241AC8" w:rsidR="001E6A08" w:rsidRPr="0015475A" w:rsidRDefault="001E6A08" w:rsidP="001E6A08">
      <w:pPr>
        <w:jc w:val="center"/>
      </w:pPr>
      <w:r w:rsidRPr="004F0D45">
        <w:rPr>
          <w:noProof/>
        </w:rPr>
        <w:drawing>
          <wp:inline distT="0" distB="0" distL="0" distR="0" wp14:anchorId="5E2430F0" wp14:editId="010BDE10">
            <wp:extent cx="4012739" cy="1392947"/>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029962" cy="1398926"/>
                    </a:xfrm>
                    <a:prstGeom prst="rect">
                      <a:avLst/>
                    </a:prstGeom>
                    <a:noFill/>
                    <a:ln>
                      <a:noFill/>
                    </a:ln>
                  </pic:spPr>
                </pic:pic>
              </a:graphicData>
            </a:graphic>
          </wp:inline>
        </w:drawing>
      </w:r>
    </w:p>
    <w:p w14:paraId="108C8CE8" w14:textId="0385AFDB" w:rsidR="001E6A08" w:rsidRDefault="001E6A08" w:rsidP="001E6A08">
      <w:pPr>
        <w:shd w:val="clear" w:color="auto" w:fill="FFFFFF"/>
        <w:spacing w:after="120"/>
        <w:jc w:val="center"/>
        <w:rPr>
          <w:color w:val="000000" w:themeColor="text1"/>
        </w:rPr>
      </w:pPr>
      <w:bookmarkStart w:id="31" w:name="_Ref159008205"/>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3</w:t>
      </w:r>
      <w:r w:rsidRPr="004F0D45">
        <w:rPr>
          <w:noProof/>
        </w:rPr>
        <w:fldChar w:fldCharType="end"/>
      </w:r>
      <w:bookmarkEnd w:id="31"/>
      <w:r w:rsidRPr="004F0D45">
        <w:rPr>
          <w:bdr w:val="none" w:sz="0" w:space="0" w:color="auto" w:frame="1"/>
        </w:rPr>
        <w:t xml:space="preserve">: </w:t>
      </w:r>
      <w:r w:rsidRPr="004F0D45">
        <w:t>CG-PUSCH transmission in SBFD.</w:t>
      </w:r>
    </w:p>
    <w:p w14:paraId="02746439" w14:textId="702C5205" w:rsidR="00A626CE" w:rsidRPr="004F0D45" w:rsidRDefault="00A626CE" w:rsidP="00A626CE">
      <w:pPr>
        <w:shd w:val="clear" w:color="auto" w:fill="FFFFFF"/>
        <w:spacing w:after="120"/>
        <w:jc w:val="both"/>
        <w:rPr>
          <w:b/>
          <w:bCs/>
          <w:i/>
          <w:iCs/>
        </w:rPr>
      </w:pPr>
      <w:bookmarkStart w:id="32" w:name="_Ref127193464"/>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8</w:t>
      </w:r>
      <w:r w:rsidRPr="004F0D45">
        <w:rPr>
          <w:b/>
          <w:bCs/>
          <w:i/>
          <w:iCs/>
        </w:rPr>
        <w:fldChar w:fldCharType="end"/>
      </w:r>
      <w:r w:rsidRPr="004F0D45">
        <w:t xml:space="preserve">: </w:t>
      </w:r>
      <w:r w:rsidRPr="004F0D45">
        <w:rPr>
          <w:b/>
          <w:bCs/>
          <w:i/>
          <w:iCs/>
        </w:rPr>
        <w:t>For multi-slot transmissions</w:t>
      </w:r>
      <w:r w:rsidR="000529B8">
        <w:rPr>
          <w:b/>
          <w:bCs/>
          <w:i/>
          <w:iCs/>
        </w:rPr>
        <w:t>/reception</w:t>
      </w:r>
      <w:r w:rsidRPr="004F0D45">
        <w:rPr>
          <w:b/>
          <w:bCs/>
          <w:i/>
          <w:iCs/>
        </w:rPr>
        <w:t>, a single FDRA is configured for all slots. This may impact flexibility in resource allocation in SBFD since it has two types of slots with different bandwidths.</w:t>
      </w:r>
      <w:bookmarkEnd w:id="32"/>
    </w:p>
    <w:p w14:paraId="46357D47" w14:textId="414A1773" w:rsidR="00A626CE" w:rsidRPr="004F0D45" w:rsidRDefault="00A626CE" w:rsidP="00A626CE">
      <w:pPr>
        <w:shd w:val="clear" w:color="auto" w:fill="FFFFFF"/>
        <w:spacing w:after="120"/>
        <w:jc w:val="both"/>
        <w:rPr>
          <w:b/>
          <w:bCs/>
          <w:i/>
          <w:iCs/>
        </w:rPr>
      </w:pPr>
      <w:bookmarkStart w:id="33" w:name="_Ref127193375"/>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14</w:t>
      </w:r>
      <w:r w:rsidRPr="004F0D45">
        <w:rPr>
          <w:b/>
          <w:bCs/>
          <w:i/>
          <w:iCs/>
        </w:rPr>
        <w:fldChar w:fldCharType="end"/>
      </w:r>
      <w:r w:rsidRPr="004F0D45">
        <w:rPr>
          <w:rFonts w:cstheme="minorHAnsi"/>
          <w:b/>
          <w:bCs/>
          <w:i/>
          <w:iCs/>
        </w:rPr>
        <w:t>:</w:t>
      </w:r>
      <w:r>
        <w:rPr>
          <w:rFonts w:cstheme="minorHAnsi"/>
          <w:b/>
          <w:bCs/>
          <w:i/>
          <w:iCs/>
        </w:rPr>
        <w:t xml:space="preserve"> </w:t>
      </w:r>
      <w:r w:rsidRPr="004F0D45">
        <w:rPr>
          <w:b/>
          <w:bCs/>
          <w:i/>
          <w:iCs/>
        </w:rPr>
        <w:t xml:space="preserve">Support separate FDRA </w:t>
      </w:r>
      <w:r w:rsidR="000529B8">
        <w:rPr>
          <w:b/>
          <w:bCs/>
          <w:i/>
          <w:iCs/>
        </w:rPr>
        <w:t xml:space="preserve">for SBFD and non-SBFD symbols </w:t>
      </w:r>
      <w:r w:rsidRPr="004F0D45">
        <w:rPr>
          <w:b/>
          <w:bCs/>
          <w:i/>
          <w:iCs/>
        </w:rPr>
        <w:t>for multi-slot transmissions</w:t>
      </w:r>
      <w:r w:rsidR="000529B8">
        <w:rPr>
          <w:b/>
          <w:bCs/>
          <w:i/>
          <w:iCs/>
        </w:rPr>
        <w:t>/reception</w:t>
      </w:r>
      <w:r w:rsidRPr="004F0D45">
        <w:rPr>
          <w:b/>
          <w:bCs/>
          <w:i/>
          <w:iCs/>
        </w:rPr>
        <w:t>.</w:t>
      </w:r>
      <w:bookmarkEnd w:id="33"/>
    </w:p>
    <w:p w14:paraId="0D13EAD5" w14:textId="7682000F" w:rsidR="00A626CE" w:rsidRPr="004F0D45" w:rsidRDefault="00A626CE" w:rsidP="00A626CE">
      <w:pPr>
        <w:shd w:val="clear" w:color="auto" w:fill="FFFFFF"/>
        <w:spacing w:after="120"/>
        <w:jc w:val="both"/>
        <w:rPr>
          <w:b/>
          <w:bCs/>
          <w:i/>
          <w:iCs/>
        </w:rPr>
      </w:pPr>
      <w:bookmarkStart w:id="34" w:name="_Ref127193412"/>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15</w:t>
      </w:r>
      <w:r w:rsidRPr="004F0D45">
        <w:rPr>
          <w:b/>
          <w:bCs/>
          <w:i/>
          <w:iCs/>
        </w:rPr>
        <w:fldChar w:fldCharType="end"/>
      </w:r>
      <w:r w:rsidRPr="004F0D45">
        <w:rPr>
          <w:rFonts w:cstheme="minorHAnsi"/>
          <w:b/>
          <w:bCs/>
          <w:i/>
          <w:iCs/>
        </w:rPr>
        <w:t>:</w:t>
      </w:r>
      <w:r>
        <w:rPr>
          <w:rFonts w:cstheme="minorHAnsi"/>
          <w:b/>
          <w:bCs/>
          <w:i/>
          <w:iCs/>
        </w:rPr>
        <w:t xml:space="preserve"> </w:t>
      </w:r>
      <w:r>
        <w:rPr>
          <w:b/>
          <w:bCs/>
          <w:i/>
          <w:iCs/>
          <w:lang w:eastAsia="en-GB"/>
        </w:rPr>
        <w:t>S</w:t>
      </w:r>
      <w:r w:rsidRPr="004F0D45">
        <w:rPr>
          <w:b/>
          <w:bCs/>
          <w:i/>
          <w:iCs/>
          <w:lang w:eastAsia="en-GB"/>
        </w:rPr>
        <w:t xml:space="preserve">upport skipping </w:t>
      </w:r>
      <w:r>
        <w:rPr>
          <w:b/>
          <w:bCs/>
          <w:i/>
          <w:iCs/>
          <w:lang w:eastAsia="en-GB"/>
        </w:rPr>
        <w:t xml:space="preserve">for multi-slot transmissions when </w:t>
      </w:r>
      <w:r w:rsidR="00D62197">
        <w:rPr>
          <w:b/>
          <w:bCs/>
          <w:i/>
          <w:iCs/>
          <w:lang w:eastAsia="en-GB"/>
        </w:rPr>
        <w:t>allocated</w:t>
      </w:r>
      <w:r>
        <w:rPr>
          <w:b/>
          <w:bCs/>
          <w:i/>
          <w:iCs/>
          <w:lang w:eastAsia="en-GB"/>
        </w:rPr>
        <w:t xml:space="preserve"> </w:t>
      </w:r>
      <w:r w:rsidR="00D62197">
        <w:rPr>
          <w:b/>
          <w:bCs/>
          <w:i/>
          <w:iCs/>
          <w:lang w:eastAsia="en-GB"/>
        </w:rPr>
        <w:t xml:space="preserve">UL/DL </w:t>
      </w:r>
      <w:r>
        <w:rPr>
          <w:b/>
          <w:bCs/>
          <w:i/>
          <w:iCs/>
          <w:lang w:eastAsia="en-GB"/>
        </w:rPr>
        <w:t xml:space="preserve">RBs </w:t>
      </w:r>
      <w:r w:rsidR="00D62197">
        <w:rPr>
          <w:b/>
          <w:bCs/>
          <w:i/>
          <w:iCs/>
          <w:lang w:eastAsia="en-GB"/>
        </w:rPr>
        <w:t>overlap with RBs outside DL/UL subband</w:t>
      </w:r>
      <w:r w:rsidR="00D62197">
        <w:rPr>
          <w:b/>
          <w:bCs/>
          <w:i/>
          <w:iCs/>
        </w:rPr>
        <w:t xml:space="preserve"> </w:t>
      </w:r>
      <w:r w:rsidRPr="004F0D45">
        <w:rPr>
          <w:b/>
          <w:bCs/>
          <w:i/>
          <w:iCs/>
          <w:lang w:eastAsia="en-GB"/>
        </w:rPr>
        <w:t>in SBFD symbols</w:t>
      </w:r>
      <w:bookmarkEnd w:id="34"/>
      <w:r w:rsidR="00E9566E">
        <w:rPr>
          <w:b/>
          <w:bCs/>
          <w:i/>
          <w:iCs/>
          <w:lang w:eastAsia="en-GB"/>
        </w:rPr>
        <w:t>.</w:t>
      </w:r>
    </w:p>
    <w:p w14:paraId="36D7C1CC" w14:textId="77777777" w:rsidR="00F45552" w:rsidRDefault="00F45552" w:rsidP="00F45552">
      <w:pPr>
        <w:pStyle w:val="Heading4"/>
      </w:pPr>
      <w:r>
        <w:t xml:space="preserve">Frequency Hopping         </w:t>
      </w:r>
    </w:p>
    <w:p w14:paraId="339729D9" w14:textId="3A0DC15B" w:rsidR="0092260F" w:rsidRDefault="00713A7D" w:rsidP="0092260F">
      <w:pPr>
        <w:spacing w:after="0"/>
        <w:jc w:val="both"/>
        <w:rPr>
          <w:lang w:eastAsia="en-GB"/>
        </w:rPr>
      </w:pPr>
      <w:r>
        <w:rPr>
          <w:lang w:eastAsia="en-GB"/>
        </w:rPr>
        <w:t>On</w:t>
      </w:r>
      <w:r w:rsidR="00F45552" w:rsidRPr="004F0D45">
        <w:rPr>
          <w:lang w:val="en-US" w:eastAsia="en-GB"/>
        </w:rPr>
        <w:t xml:space="preserve"> SBFD symbols, </w:t>
      </w:r>
      <w:r w:rsidR="00F45552" w:rsidRPr="004F0D45">
        <w:rPr>
          <w:lang w:eastAsia="en-GB"/>
        </w:rPr>
        <w:t xml:space="preserve">resource allocation with </w:t>
      </w:r>
      <w:r w:rsidR="007A5709" w:rsidRPr="004F0D45">
        <w:rPr>
          <w:lang w:eastAsia="en-GB"/>
        </w:rPr>
        <w:t>frequency hopping</w:t>
      </w:r>
      <w:r w:rsidR="00F45552" w:rsidRPr="004F0D45">
        <w:rPr>
          <w:lang w:eastAsia="en-GB"/>
        </w:rPr>
        <w:t xml:space="preserve"> is likely to overlap with </w:t>
      </w:r>
      <w:r>
        <w:rPr>
          <w:lang w:eastAsia="en-GB"/>
        </w:rPr>
        <w:t>downlink</w:t>
      </w:r>
      <w:r w:rsidR="00F45552" w:rsidRPr="004F0D45">
        <w:rPr>
          <w:lang w:eastAsia="en-GB"/>
        </w:rPr>
        <w:t xml:space="preserve"> subband since the bandwidth of the </w:t>
      </w:r>
      <w:r>
        <w:rPr>
          <w:lang w:eastAsia="en-GB"/>
        </w:rPr>
        <w:t>uplink</w:t>
      </w:r>
      <w:r w:rsidR="00F45552" w:rsidRPr="004F0D45">
        <w:rPr>
          <w:lang w:eastAsia="en-GB"/>
        </w:rPr>
        <w:t xml:space="preserve"> subband is less than the BWP</w:t>
      </w:r>
      <w:r>
        <w:rPr>
          <w:lang w:eastAsia="en-GB"/>
        </w:rPr>
        <w:t xml:space="preserve"> size</w:t>
      </w:r>
      <w:r w:rsidR="00F45552" w:rsidRPr="004F0D45">
        <w:rPr>
          <w:lang w:eastAsia="en-GB"/>
        </w:rPr>
        <w:t xml:space="preserve">, as shown in </w:t>
      </w:r>
      <w:r w:rsidR="000A0D26">
        <w:rPr>
          <w:lang w:eastAsia="en-GB"/>
        </w:rPr>
        <w:fldChar w:fldCharType="begin"/>
      </w:r>
      <w:r w:rsidR="000A0D26">
        <w:rPr>
          <w:lang w:eastAsia="en-GB"/>
        </w:rPr>
        <w:instrText xml:space="preserve"> REF _Ref159008229 \h </w:instrText>
      </w:r>
      <w:r w:rsidR="000A0D26">
        <w:rPr>
          <w:lang w:eastAsia="en-GB"/>
        </w:rPr>
      </w:r>
      <w:r w:rsidR="000A0D26">
        <w:rPr>
          <w:lang w:eastAsia="en-GB"/>
        </w:rPr>
        <w:fldChar w:fldCharType="separate"/>
      </w:r>
      <w:r w:rsidR="00CA6417" w:rsidRPr="004F0D45">
        <w:rPr>
          <w:bdr w:val="none" w:sz="0" w:space="0" w:color="auto" w:frame="1"/>
        </w:rPr>
        <w:t xml:space="preserve">Figure </w:t>
      </w:r>
      <w:r w:rsidR="00CA6417">
        <w:rPr>
          <w:noProof/>
        </w:rPr>
        <w:t>4</w:t>
      </w:r>
      <w:r w:rsidR="000A0D26">
        <w:rPr>
          <w:lang w:eastAsia="en-GB"/>
        </w:rPr>
        <w:fldChar w:fldCharType="end"/>
      </w:r>
      <w:r w:rsidR="00F45552">
        <w:rPr>
          <w:lang w:eastAsia="en-GB"/>
        </w:rPr>
        <w:t xml:space="preserve">. </w:t>
      </w:r>
      <w:r w:rsidR="0038154F">
        <w:rPr>
          <w:lang w:eastAsia="en-GB"/>
        </w:rPr>
        <w:t xml:space="preserve">To avoid this issue separate </w:t>
      </w:r>
      <w:r w:rsidR="007A5709" w:rsidRPr="004F0D45">
        <w:rPr>
          <w:lang w:eastAsia="en-GB"/>
        </w:rPr>
        <w:t>frequency hopping</w:t>
      </w:r>
      <w:r w:rsidR="0038154F">
        <w:rPr>
          <w:lang w:eastAsia="en-GB"/>
        </w:rPr>
        <w:t xml:space="preserve"> offsets can be configured for SBFD and non-SBFD symbols. </w:t>
      </w:r>
      <w:r w:rsidR="00F45552" w:rsidRPr="004F0D45">
        <w:rPr>
          <w:lang w:eastAsia="en-GB"/>
        </w:rPr>
        <w:t xml:space="preserve">For PUSCH and SRS, the frequency hopping procedure needs to be modified to enable frequency hopping that is confined within the </w:t>
      </w:r>
      <w:r w:rsidR="0092260F">
        <w:rPr>
          <w:lang w:eastAsia="en-GB"/>
        </w:rPr>
        <w:t>uplink</w:t>
      </w:r>
      <w:r w:rsidR="00F45552">
        <w:rPr>
          <w:lang w:eastAsia="en-GB"/>
        </w:rPr>
        <w:t xml:space="preserve"> subband</w:t>
      </w:r>
      <w:r w:rsidR="00F45552" w:rsidRPr="004F0D45">
        <w:rPr>
          <w:lang w:eastAsia="en-GB"/>
        </w:rPr>
        <w:t xml:space="preserve"> in the SBFD slots/symbols.</w:t>
      </w:r>
      <w:r w:rsidR="00F45552">
        <w:rPr>
          <w:lang w:eastAsia="en-GB"/>
        </w:rPr>
        <w:t xml:space="preserve"> </w:t>
      </w:r>
    </w:p>
    <w:p w14:paraId="6803481B" w14:textId="77777777" w:rsidR="0092260F" w:rsidRDefault="0092260F" w:rsidP="0092260F">
      <w:pPr>
        <w:spacing w:after="0"/>
        <w:jc w:val="both"/>
        <w:rPr>
          <w:color w:val="000000" w:themeColor="text1"/>
          <w:kern w:val="24"/>
        </w:rPr>
      </w:pPr>
    </w:p>
    <w:p w14:paraId="2476CE28" w14:textId="628A7671" w:rsidR="00F45552" w:rsidRPr="0092260F" w:rsidRDefault="0092260F" w:rsidP="0092260F">
      <w:pPr>
        <w:spacing w:after="0"/>
        <w:jc w:val="both"/>
        <w:rPr>
          <w:color w:val="000000" w:themeColor="text1"/>
          <w:kern w:val="24"/>
          <w:lang w:val="en-US"/>
        </w:rPr>
      </w:pPr>
      <w:r>
        <w:rPr>
          <w:color w:val="000000" w:themeColor="text1"/>
          <w:kern w:val="24"/>
        </w:rPr>
        <w:t xml:space="preserve">Moreover, </w:t>
      </w:r>
      <w:r>
        <w:rPr>
          <w:lang w:eastAsia="en-GB"/>
        </w:rPr>
        <w:t>t</w:t>
      </w:r>
      <w:r w:rsidRPr="004F0D45">
        <w:rPr>
          <w:lang w:eastAsia="en-GB"/>
        </w:rPr>
        <w:t xml:space="preserve">he main advantage of frequency hopping is to provide frequency diversity and robustness to poor channel conditions. </w:t>
      </w:r>
      <w:r>
        <w:rPr>
          <w:lang w:eastAsia="en-GB"/>
        </w:rPr>
        <w:t>On</w:t>
      </w:r>
      <w:r w:rsidRPr="004F0D45">
        <w:rPr>
          <w:lang w:eastAsia="en-GB"/>
        </w:rPr>
        <w:t xml:space="preserve"> SBFD symbols, the diversity gain obtained from frequency hopping is reduced compared to non-SBFD slots because of the smaller</w:t>
      </w:r>
      <w:r>
        <w:rPr>
          <w:lang w:eastAsia="en-GB"/>
        </w:rPr>
        <w:t xml:space="preserve"> uplink</w:t>
      </w:r>
      <w:r w:rsidRPr="004F0D45">
        <w:rPr>
          <w:lang w:eastAsia="en-GB"/>
        </w:rPr>
        <w:t xml:space="preserve"> frequency resources. Therefore, a mechanism</w:t>
      </w:r>
      <w:r>
        <w:rPr>
          <w:lang w:eastAsia="en-GB"/>
        </w:rPr>
        <w:t>/rule</w:t>
      </w:r>
      <w:r w:rsidRPr="004F0D45">
        <w:rPr>
          <w:lang w:eastAsia="en-GB"/>
        </w:rPr>
        <w:t xml:space="preserve"> to disable frequency hopping </w:t>
      </w:r>
      <w:r>
        <w:rPr>
          <w:lang w:eastAsia="en-GB"/>
        </w:rPr>
        <w:t>o</w:t>
      </w:r>
      <w:r w:rsidRPr="004F0D45">
        <w:rPr>
          <w:lang w:eastAsia="en-GB"/>
        </w:rPr>
        <w:t>n SBFD symbols could help in</w:t>
      </w:r>
      <w:r>
        <w:rPr>
          <w:lang w:eastAsia="en-GB"/>
        </w:rPr>
        <w:t xml:space="preserve"> reduce </w:t>
      </w:r>
      <w:r w:rsidR="00E9566E">
        <w:rPr>
          <w:lang w:eastAsia="en-GB"/>
        </w:rPr>
        <w:t>signalling</w:t>
      </w:r>
      <w:r>
        <w:rPr>
          <w:lang w:eastAsia="en-GB"/>
        </w:rPr>
        <w:t xml:space="preserve"> overhead. </w:t>
      </w:r>
      <w:r w:rsidR="00F45552" w:rsidRPr="009F65F0">
        <w:rPr>
          <w:lang w:eastAsia="en-GB"/>
        </w:rPr>
        <w:t xml:space="preserve"> </w:t>
      </w:r>
    </w:p>
    <w:p w14:paraId="6A979AAB" w14:textId="1B0EFE23" w:rsidR="0015475A" w:rsidRDefault="00F45552" w:rsidP="00F45552">
      <w:pPr>
        <w:jc w:val="center"/>
      </w:pPr>
      <w:r w:rsidRPr="004F0D45">
        <w:rPr>
          <w:noProof/>
        </w:rPr>
        <w:drawing>
          <wp:inline distT="0" distB="0" distL="0" distR="0" wp14:anchorId="29383BCA" wp14:editId="6D5A7B43">
            <wp:extent cx="3576206" cy="1394034"/>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602813" cy="1404406"/>
                    </a:xfrm>
                    <a:prstGeom prst="rect">
                      <a:avLst/>
                    </a:prstGeom>
                    <a:noFill/>
                    <a:ln>
                      <a:noFill/>
                    </a:ln>
                  </pic:spPr>
                </pic:pic>
              </a:graphicData>
            </a:graphic>
          </wp:inline>
        </w:drawing>
      </w:r>
    </w:p>
    <w:p w14:paraId="28A0AB48" w14:textId="44E505DA" w:rsidR="00F45552" w:rsidRDefault="00F45552" w:rsidP="00F45552">
      <w:pPr>
        <w:jc w:val="center"/>
      </w:pPr>
      <w:bookmarkStart w:id="35" w:name="_Ref159008229"/>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4</w:t>
      </w:r>
      <w:r w:rsidRPr="004F0D45">
        <w:rPr>
          <w:noProof/>
        </w:rPr>
        <w:fldChar w:fldCharType="end"/>
      </w:r>
      <w:bookmarkEnd w:id="35"/>
      <w:r w:rsidRPr="004F0D45">
        <w:rPr>
          <w:bdr w:val="none" w:sz="0" w:space="0" w:color="auto" w:frame="1"/>
        </w:rPr>
        <w:t xml:space="preserve">: </w:t>
      </w:r>
      <w:r w:rsidRPr="004F0D45">
        <w:t>PUSCH frequency hopping in SBFD.</w:t>
      </w:r>
    </w:p>
    <w:p w14:paraId="4FB9105E" w14:textId="27CBF26F" w:rsidR="008B1BBB" w:rsidRDefault="008B1BBB" w:rsidP="008B1BBB">
      <w:pPr>
        <w:shd w:val="clear" w:color="auto" w:fill="FFFFFF"/>
        <w:spacing w:after="120"/>
        <w:jc w:val="both"/>
        <w:rPr>
          <w:b/>
          <w:bCs/>
          <w:i/>
          <w:iCs/>
        </w:rPr>
      </w:pPr>
      <w:bookmarkStart w:id="36" w:name="_Ref159007941"/>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16</w:t>
      </w:r>
      <w:r w:rsidRPr="004F0D45">
        <w:rPr>
          <w:b/>
          <w:bCs/>
          <w:i/>
          <w:iCs/>
        </w:rPr>
        <w:fldChar w:fldCharType="end"/>
      </w:r>
      <w:r w:rsidRPr="004F0D45">
        <w:rPr>
          <w:rFonts w:cstheme="minorHAnsi"/>
          <w:b/>
          <w:bCs/>
          <w:i/>
          <w:iCs/>
        </w:rPr>
        <w:t>:</w:t>
      </w:r>
      <w:r>
        <w:rPr>
          <w:rFonts w:cstheme="minorHAnsi"/>
          <w:b/>
          <w:bCs/>
          <w:i/>
          <w:iCs/>
        </w:rPr>
        <w:t xml:space="preserve"> </w:t>
      </w:r>
      <w:r w:rsidRPr="004F0D45">
        <w:rPr>
          <w:b/>
          <w:bCs/>
          <w:i/>
          <w:iCs/>
        </w:rPr>
        <w:t xml:space="preserve">Support separate </w:t>
      </w:r>
      <w:r w:rsidR="00E91310">
        <w:rPr>
          <w:b/>
          <w:bCs/>
          <w:i/>
          <w:iCs/>
        </w:rPr>
        <w:t>FDRA (including separate frequency hopping offsets)</w:t>
      </w:r>
      <w:r w:rsidRPr="004F0D45">
        <w:rPr>
          <w:b/>
          <w:bCs/>
          <w:i/>
          <w:iCs/>
        </w:rPr>
        <w:t xml:space="preserve"> for</w:t>
      </w:r>
      <w:r>
        <w:rPr>
          <w:b/>
          <w:bCs/>
          <w:i/>
          <w:iCs/>
        </w:rPr>
        <w:t xml:space="preserve"> SBFD and non-SBFD</w:t>
      </w:r>
      <w:r w:rsidR="00E91310">
        <w:rPr>
          <w:b/>
          <w:bCs/>
          <w:i/>
          <w:iCs/>
        </w:rPr>
        <w:t xml:space="preserve"> </w:t>
      </w:r>
      <w:r>
        <w:rPr>
          <w:b/>
          <w:bCs/>
          <w:i/>
          <w:iCs/>
        </w:rPr>
        <w:t>symbols when</w:t>
      </w:r>
      <w:r w:rsidRPr="004F0D45">
        <w:rPr>
          <w:b/>
          <w:bCs/>
          <w:i/>
          <w:iCs/>
        </w:rPr>
        <w:t xml:space="preserve"> frequency hopping </w:t>
      </w:r>
      <w:r>
        <w:rPr>
          <w:b/>
          <w:bCs/>
          <w:i/>
          <w:iCs/>
        </w:rPr>
        <w:t>enabled</w:t>
      </w:r>
      <w:bookmarkEnd w:id="36"/>
      <w:r w:rsidR="00E9566E">
        <w:rPr>
          <w:b/>
          <w:bCs/>
          <w:i/>
          <w:iCs/>
        </w:rPr>
        <w:t>.</w:t>
      </w:r>
      <w:r>
        <w:rPr>
          <w:b/>
          <w:bCs/>
          <w:i/>
          <w:iCs/>
        </w:rPr>
        <w:t xml:space="preserve"> </w:t>
      </w:r>
    </w:p>
    <w:p w14:paraId="23D223ED" w14:textId="7626E566" w:rsidR="008B1BBB" w:rsidRPr="00460996" w:rsidRDefault="008B1BBB" w:rsidP="00460996">
      <w:pPr>
        <w:shd w:val="clear" w:color="auto" w:fill="FFFFFF"/>
        <w:spacing w:after="120"/>
        <w:jc w:val="both"/>
        <w:rPr>
          <w:b/>
          <w:bCs/>
          <w:i/>
          <w:iCs/>
        </w:rPr>
      </w:pPr>
      <w:bookmarkStart w:id="37" w:name="_Ref159007947"/>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17</w:t>
      </w:r>
      <w:r w:rsidRPr="004F0D45">
        <w:rPr>
          <w:b/>
          <w:bCs/>
          <w:i/>
          <w:iCs/>
        </w:rPr>
        <w:fldChar w:fldCharType="end"/>
      </w:r>
      <w:r w:rsidRPr="004F0D45">
        <w:rPr>
          <w:rFonts w:cstheme="minorHAnsi"/>
          <w:b/>
          <w:bCs/>
          <w:i/>
          <w:iCs/>
        </w:rPr>
        <w:t>:</w:t>
      </w:r>
      <w:r>
        <w:rPr>
          <w:rFonts w:cstheme="minorHAnsi"/>
          <w:b/>
          <w:bCs/>
          <w:i/>
          <w:iCs/>
        </w:rPr>
        <w:t xml:space="preserve"> </w:t>
      </w:r>
      <w:r w:rsidRPr="004F0D45">
        <w:rPr>
          <w:b/>
          <w:bCs/>
          <w:i/>
          <w:iCs/>
          <w:lang w:eastAsia="en-GB"/>
        </w:rPr>
        <w:t>Support frequency hopping</w:t>
      </w:r>
      <w:r>
        <w:rPr>
          <w:b/>
          <w:bCs/>
          <w:i/>
          <w:iCs/>
          <w:lang w:eastAsia="en-GB"/>
        </w:rPr>
        <w:t xml:space="preserve"> </w:t>
      </w:r>
      <w:r w:rsidRPr="004F0D45">
        <w:rPr>
          <w:b/>
          <w:bCs/>
          <w:i/>
          <w:iCs/>
          <w:lang w:eastAsia="en-GB"/>
        </w:rPr>
        <w:t xml:space="preserve">only </w:t>
      </w:r>
      <w:r w:rsidR="00753482">
        <w:rPr>
          <w:b/>
          <w:bCs/>
          <w:i/>
          <w:iCs/>
          <w:lang w:eastAsia="en-GB"/>
        </w:rPr>
        <w:t>o</w:t>
      </w:r>
      <w:r w:rsidRPr="004F0D45">
        <w:rPr>
          <w:b/>
          <w:bCs/>
          <w:i/>
          <w:iCs/>
          <w:lang w:eastAsia="en-GB"/>
        </w:rPr>
        <w:t>n non-SBFD s</w:t>
      </w:r>
      <w:r w:rsidR="00753482">
        <w:rPr>
          <w:b/>
          <w:bCs/>
          <w:i/>
          <w:iCs/>
          <w:lang w:eastAsia="en-GB"/>
        </w:rPr>
        <w:t>ymbols</w:t>
      </w:r>
      <w:r w:rsidRPr="004F0D45">
        <w:rPr>
          <w:b/>
          <w:bCs/>
          <w:i/>
          <w:iCs/>
          <w:lang w:eastAsia="en-GB"/>
        </w:rPr>
        <w:t xml:space="preserve"> for inter-slot frequency hopping</w:t>
      </w:r>
      <w:r w:rsidRPr="004F0D45">
        <w:rPr>
          <w:b/>
          <w:bCs/>
          <w:i/>
          <w:iCs/>
        </w:rPr>
        <w:t>.</w:t>
      </w:r>
      <w:bookmarkEnd w:id="37"/>
    </w:p>
    <w:p w14:paraId="7A186932" w14:textId="49F16389" w:rsidR="00460996" w:rsidRDefault="00460996" w:rsidP="00284153">
      <w:pPr>
        <w:pStyle w:val="Heading3"/>
      </w:pPr>
      <w:r>
        <w:lastRenderedPageBreak/>
        <w:t xml:space="preserve">SBFD Operation in SSB Symbols  </w:t>
      </w:r>
    </w:p>
    <w:p w14:paraId="5A9D2EB2" w14:textId="3DEE2D9E" w:rsidR="002B36A4" w:rsidRDefault="00F63455" w:rsidP="005366E7">
      <w:pPr>
        <w:jc w:val="both"/>
      </w:pPr>
      <w:r w:rsidRPr="00FB732E">
        <w:t xml:space="preserve">For SBFD operation, RAN1 agreed that </w:t>
      </w:r>
      <w:r>
        <w:t>uplink</w:t>
      </w:r>
      <w:r w:rsidRPr="00FB732E">
        <w:t xml:space="preserve"> subband can be configured in SSB symbo</w:t>
      </w:r>
      <w:r>
        <w:t xml:space="preserve">ls. However, it is yet to be determined if a SBFD-aware UE is allowed to transmit in SSB symbols or not. In our opinion, all UEs </w:t>
      </w:r>
      <w:proofErr w:type="gramStart"/>
      <w:r>
        <w:t>in a given</w:t>
      </w:r>
      <w:proofErr w:type="gramEnd"/>
      <w:r>
        <w:t xml:space="preserve"> serving cell are expected perform SSB measurements during SSB occasions. </w:t>
      </w:r>
      <w:r w:rsidRPr="00FB732E">
        <w:t>Some SSB</w:t>
      </w:r>
      <w:r>
        <w:t xml:space="preserve"> occasions may be</w:t>
      </w:r>
      <w:r w:rsidRPr="00FB732E">
        <w:t xml:space="preserve"> skipped</w:t>
      </w:r>
      <w:r>
        <w:t xml:space="preserve">, as shown in </w:t>
      </w:r>
      <w:r w:rsidR="00E81194">
        <w:fldChar w:fldCharType="begin"/>
      </w:r>
      <w:r w:rsidR="00E81194">
        <w:instrText xml:space="preserve"> REF _Ref159008254 \h </w:instrText>
      </w:r>
      <w:r w:rsidR="00E81194">
        <w:fldChar w:fldCharType="separate"/>
      </w:r>
      <w:r w:rsidR="00CA6417" w:rsidRPr="004F0D45">
        <w:rPr>
          <w:bdr w:val="none" w:sz="0" w:space="0" w:color="auto" w:frame="1"/>
        </w:rPr>
        <w:t xml:space="preserve">Figure </w:t>
      </w:r>
      <w:r w:rsidR="00CA6417">
        <w:rPr>
          <w:noProof/>
        </w:rPr>
        <w:t>5</w:t>
      </w:r>
      <w:r w:rsidR="00E81194">
        <w:fldChar w:fldCharType="end"/>
      </w:r>
      <w:r>
        <w:t xml:space="preserve"> </w:t>
      </w:r>
      <w:r w:rsidRPr="00FB732E">
        <w:t>–</w:t>
      </w:r>
      <w:r>
        <w:t xml:space="preserve"> but</w:t>
      </w:r>
      <w:r w:rsidRPr="00FB732E">
        <w:t xml:space="preserve"> usually for other measurements (e.g., neighbour cell measurements)</w:t>
      </w:r>
      <w:r>
        <w:t xml:space="preserve">. </w:t>
      </w:r>
    </w:p>
    <w:p w14:paraId="56C46BDE" w14:textId="73F35F55" w:rsidR="00460996" w:rsidRDefault="00F63455" w:rsidP="00E9566E">
      <w:pPr>
        <w:spacing w:after="0"/>
        <w:jc w:val="center"/>
      </w:pPr>
      <w:r>
        <w:rPr>
          <w:noProof/>
        </w:rPr>
        <w:drawing>
          <wp:inline distT="0" distB="0" distL="0" distR="0" wp14:anchorId="35CD5D78" wp14:editId="2287A481">
            <wp:extent cx="3617765" cy="1218302"/>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625586" cy="1220936"/>
                    </a:xfrm>
                    <a:prstGeom prst="rect">
                      <a:avLst/>
                    </a:prstGeom>
                    <a:noFill/>
                  </pic:spPr>
                </pic:pic>
              </a:graphicData>
            </a:graphic>
          </wp:inline>
        </w:drawing>
      </w:r>
    </w:p>
    <w:p w14:paraId="4E79B454" w14:textId="305A19DE" w:rsidR="00460996" w:rsidRDefault="00F63455" w:rsidP="00F63455">
      <w:pPr>
        <w:jc w:val="center"/>
      </w:pPr>
      <w:bookmarkStart w:id="38" w:name="_Ref159008254"/>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5</w:t>
      </w:r>
      <w:r w:rsidRPr="004F0D45">
        <w:rPr>
          <w:noProof/>
        </w:rPr>
        <w:fldChar w:fldCharType="end"/>
      </w:r>
      <w:bookmarkEnd w:id="38"/>
      <w:r w:rsidRPr="004F0D45">
        <w:rPr>
          <w:bdr w:val="none" w:sz="0" w:space="0" w:color="auto" w:frame="1"/>
        </w:rPr>
        <w:t xml:space="preserve">: </w:t>
      </w:r>
      <w:r>
        <w:t>Skipping of SSB occasions overlapping with SMTC and/or measurement gaps</w:t>
      </w:r>
    </w:p>
    <w:p w14:paraId="05BF3FFC" w14:textId="7149A18D" w:rsidR="00537EA2" w:rsidRDefault="00537EA2" w:rsidP="00537EA2">
      <w:pPr>
        <w:jc w:val="both"/>
      </w:pPr>
      <w:r>
        <w:t>Since UEs remain half duplex nodes, uplink transmission cannot be expected on SSB symbols if all UEs in a cell are meant to perform SSB measurement. Therefore, if SSB occurs on SBFD slots/symbols the UE can be configured to prioritize the SSB measurement. To avoid any wastage of resources, the occurrence of SSB on SBFD slots/symbols can be considered to override the SBFD slot partitioning. That is, the UE no longer</w:t>
      </w:r>
      <w:r w:rsidR="007D5B29">
        <w:t xml:space="preserve"> considers</w:t>
      </w:r>
      <w:r>
        <w:t xml:space="preserve"> a slot/symbol as a SBFD slot/symbol if it overlaps in time and/or frequency domain with SSB symbols.  </w:t>
      </w:r>
    </w:p>
    <w:p w14:paraId="6A62F074" w14:textId="0040CD08" w:rsidR="009D2DD8" w:rsidRDefault="00537EA2" w:rsidP="00537EA2">
      <w:pPr>
        <w:jc w:val="both"/>
      </w:pPr>
      <w:r>
        <w:t xml:space="preserve">The cost of overriding of SBFD slots/symbols may not be too detrimental to uplink performance. </w:t>
      </w:r>
      <w:r w:rsidR="00D94C49">
        <w:fldChar w:fldCharType="begin"/>
      </w:r>
      <w:r w:rsidR="00D94C49">
        <w:instrText xml:space="preserve"> REF _Ref159008286 \h </w:instrText>
      </w:r>
      <w:r w:rsidR="00D94C49">
        <w:fldChar w:fldCharType="separate"/>
      </w:r>
      <w:r w:rsidR="00CA6417" w:rsidRPr="004F0D45">
        <w:rPr>
          <w:bdr w:val="none" w:sz="0" w:space="0" w:color="auto" w:frame="1"/>
        </w:rPr>
        <w:t xml:space="preserve">Figure </w:t>
      </w:r>
      <w:r w:rsidR="00CA6417">
        <w:rPr>
          <w:noProof/>
        </w:rPr>
        <w:t>6</w:t>
      </w:r>
      <w:r w:rsidR="00D94C49">
        <w:fldChar w:fldCharType="end"/>
      </w:r>
      <w:r>
        <w:t xml:space="preserve"> shows an example considering a typical SSB configuration for operation bandwidth between </w:t>
      </w:r>
      <w:r w:rsidRPr="00C13137">
        <w:t>3GHz and 6GHz</w:t>
      </w:r>
      <w:r>
        <w:t xml:space="preserve"> (with a maximum of 8 SSB candidates on 4 slots), with SSB periodicity of 20ms, DXXXU SBFD pattern, and 30kHz SCS. As shown in the figure, even with overriding of SBFD slots that overlap with SSB, there remains a significant number of uplink resources within the SSB periodicity where the UE can perform uplink transmissions. The cost is even less if SSB configuration for operation bandwidth less than </w:t>
      </w:r>
      <w:r w:rsidRPr="00C13137">
        <w:t xml:space="preserve">3GHz </w:t>
      </w:r>
      <w:r>
        <w:t>(with a maximum of 4 SSB candidates on 2 slots) is considered.</w:t>
      </w:r>
    </w:p>
    <w:p w14:paraId="15065C59" w14:textId="7A3BFCEC" w:rsidR="00537EA2" w:rsidRDefault="00537EA2" w:rsidP="00537EA2">
      <w:pPr>
        <w:jc w:val="both"/>
      </w:pPr>
      <w:r>
        <w:t xml:space="preserve"> </w:t>
      </w:r>
    </w:p>
    <w:p w14:paraId="4B7C9725" w14:textId="2E527DA7" w:rsidR="00537EA2" w:rsidRDefault="00537EA2" w:rsidP="00E9566E">
      <w:pPr>
        <w:spacing w:after="0"/>
        <w:jc w:val="center"/>
      </w:pPr>
      <w:r>
        <w:rPr>
          <w:noProof/>
        </w:rPr>
        <w:drawing>
          <wp:inline distT="0" distB="0" distL="0" distR="0" wp14:anchorId="0D8B1A43" wp14:editId="2C7B3E34">
            <wp:extent cx="5489008" cy="1153236"/>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590176" cy="1174491"/>
                    </a:xfrm>
                    <a:prstGeom prst="rect">
                      <a:avLst/>
                    </a:prstGeom>
                    <a:noFill/>
                  </pic:spPr>
                </pic:pic>
              </a:graphicData>
            </a:graphic>
          </wp:inline>
        </w:drawing>
      </w:r>
    </w:p>
    <w:p w14:paraId="2DAB29F7" w14:textId="79A477BF" w:rsidR="00537EA2" w:rsidRDefault="00537EA2" w:rsidP="00537EA2">
      <w:pPr>
        <w:jc w:val="center"/>
      </w:pPr>
      <w:bookmarkStart w:id="39" w:name="_Ref159008286"/>
      <w:r w:rsidRPr="004F0D45">
        <w:rPr>
          <w:bdr w:val="none" w:sz="0" w:space="0" w:color="auto" w:frame="1"/>
        </w:rPr>
        <w:t xml:space="preserve">Figure </w:t>
      </w:r>
      <w:r w:rsidRPr="004F0D45">
        <w:fldChar w:fldCharType="begin"/>
      </w:r>
      <w:r w:rsidRPr="004F0D45">
        <w:instrText xml:space="preserve"> SEQ Figure \* ARABIC </w:instrText>
      </w:r>
      <w:r w:rsidRPr="004F0D45">
        <w:fldChar w:fldCharType="separate"/>
      </w:r>
      <w:r w:rsidR="00CA6417">
        <w:rPr>
          <w:noProof/>
        </w:rPr>
        <w:t>6</w:t>
      </w:r>
      <w:r w:rsidRPr="004F0D45">
        <w:rPr>
          <w:noProof/>
        </w:rPr>
        <w:fldChar w:fldCharType="end"/>
      </w:r>
      <w:bookmarkEnd w:id="39"/>
      <w:r w:rsidRPr="004F0D45">
        <w:rPr>
          <w:bdr w:val="none" w:sz="0" w:space="0" w:color="auto" w:frame="1"/>
        </w:rPr>
        <w:t xml:space="preserve">: </w:t>
      </w:r>
      <w:r>
        <w:t>Potential cost of overriding on uplink opportunities</w:t>
      </w:r>
    </w:p>
    <w:p w14:paraId="33BC9EDC" w14:textId="24366E30" w:rsidR="002B36A4" w:rsidRDefault="002B36A4" w:rsidP="00E9566E">
      <w:pPr>
        <w:spacing w:after="120"/>
        <w:jc w:val="both"/>
        <w:rPr>
          <w:b/>
          <w:bCs/>
          <w:i/>
          <w:iCs/>
        </w:rPr>
      </w:pPr>
      <w:bookmarkStart w:id="40" w:name="_Ref159007718"/>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9</w:t>
      </w:r>
      <w:r w:rsidRPr="004F0D45">
        <w:rPr>
          <w:b/>
          <w:bCs/>
          <w:i/>
          <w:iCs/>
        </w:rPr>
        <w:fldChar w:fldCharType="end"/>
      </w:r>
      <w:r w:rsidRPr="004F0D45">
        <w:t xml:space="preserve">: </w:t>
      </w:r>
      <w:r>
        <w:rPr>
          <w:b/>
          <w:bCs/>
          <w:i/>
          <w:iCs/>
        </w:rPr>
        <w:t>UEs in a cell are expected to perform measurement during SSB occasions. Since UEs are half duplex, uplink transmission can therefore not be expected during SSB occasions.</w:t>
      </w:r>
      <w:bookmarkEnd w:id="40"/>
      <w:r>
        <w:rPr>
          <w:b/>
          <w:bCs/>
          <w:i/>
          <w:iCs/>
        </w:rPr>
        <w:t xml:space="preserve">  </w:t>
      </w:r>
    </w:p>
    <w:p w14:paraId="66273570" w14:textId="7836F623" w:rsidR="002B36A4" w:rsidRDefault="002B36A4" w:rsidP="00E9566E">
      <w:pPr>
        <w:spacing w:after="120"/>
        <w:jc w:val="both"/>
      </w:pPr>
      <w:bookmarkStart w:id="41" w:name="_Ref159007719"/>
      <w:r w:rsidRPr="004F0D45">
        <w:rPr>
          <w:b/>
          <w:bCs/>
          <w:i/>
          <w:iCs/>
        </w:rPr>
        <w:t xml:space="preserve">Observation </w:t>
      </w:r>
      <w:r w:rsidRPr="004F0D45">
        <w:rPr>
          <w:b/>
          <w:bCs/>
          <w:i/>
          <w:iCs/>
        </w:rPr>
        <w:fldChar w:fldCharType="begin"/>
      </w:r>
      <w:r w:rsidRPr="004F0D45">
        <w:rPr>
          <w:b/>
          <w:bCs/>
          <w:i/>
          <w:iCs/>
        </w:rPr>
        <w:instrText xml:space="preserve"> SEQ Observation \* ARABIC </w:instrText>
      </w:r>
      <w:r w:rsidRPr="004F0D45">
        <w:rPr>
          <w:b/>
          <w:bCs/>
          <w:i/>
          <w:iCs/>
        </w:rPr>
        <w:fldChar w:fldCharType="separate"/>
      </w:r>
      <w:r w:rsidR="00CA6417">
        <w:rPr>
          <w:b/>
          <w:bCs/>
          <w:i/>
          <w:iCs/>
          <w:noProof/>
        </w:rPr>
        <w:t>10</w:t>
      </w:r>
      <w:r w:rsidRPr="004F0D45">
        <w:rPr>
          <w:b/>
          <w:bCs/>
          <w:i/>
          <w:iCs/>
        </w:rPr>
        <w:fldChar w:fldCharType="end"/>
      </w:r>
      <w:r w:rsidRPr="004F0D45">
        <w:t xml:space="preserve">: </w:t>
      </w:r>
      <w:r>
        <w:rPr>
          <w:b/>
          <w:bCs/>
          <w:i/>
          <w:iCs/>
        </w:rPr>
        <w:t>The cost</w:t>
      </w:r>
      <w:r w:rsidR="00E9566E">
        <w:rPr>
          <w:b/>
          <w:bCs/>
          <w:i/>
          <w:iCs/>
        </w:rPr>
        <w:t xml:space="preserve"> of</w:t>
      </w:r>
      <w:r>
        <w:rPr>
          <w:b/>
          <w:bCs/>
          <w:i/>
          <w:iCs/>
        </w:rPr>
        <w:t xml:space="preserve"> overriding SBFD partitioning on uplink is manageable.</w:t>
      </w:r>
      <w:bookmarkEnd w:id="41"/>
      <w:r>
        <w:rPr>
          <w:b/>
          <w:bCs/>
          <w:i/>
          <w:iCs/>
        </w:rPr>
        <w:t xml:space="preserve"> </w:t>
      </w:r>
    </w:p>
    <w:p w14:paraId="60647A4C" w14:textId="0C868EC6" w:rsidR="00E8459A" w:rsidRPr="00680231" w:rsidRDefault="002B36A4" w:rsidP="00E9566E">
      <w:pPr>
        <w:shd w:val="clear" w:color="auto" w:fill="FFFFFF"/>
        <w:spacing w:after="120"/>
        <w:jc w:val="both"/>
        <w:rPr>
          <w:b/>
          <w:bCs/>
          <w:i/>
          <w:iCs/>
        </w:rPr>
      </w:pPr>
      <w:bookmarkStart w:id="42" w:name="_Ref159007953"/>
      <w:r w:rsidRPr="004F0D45">
        <w:rPr>
          <w:b/>
          <w:bCs/>
          <w:i/>
          <w:iCs/>
        </w:rPr>
        <w:t xml:space="preserve">Proposal </w:t>
      </w:r>
      <w:r w:rsidRPr="004F0D45">
        <w:rPr>
          <w:b/>
          <w:bCs/>
          <w:i/>
          <w:iCs/>
        </w:rPr>
        <w:fldChar w:fldCharType="begin"/>
      </w:r>
      <w:r w:rsidRPr="004F0D45">
        <w:rPr>
          <w:b/>
          <w:bCs/>
          <w:i/>
          <w:iCs/>
        </w:rPr>
        <w:instrText xml:space="preserve"> SEQ Proposal \* ARABIC </w:instrText>
      </w:r>
      <w:r w:rsidRPr="004F0D45">
        <w:rPr>
          <w:b/>
          <w:bCs/>
          <w:i/>
          <w:iCs/>
        </w:rPr>
        <w:fldChar w:fldCharType="separate"/>
      </w:r>
      <w:r w:rsidR="00CA6417">
        <w:rPr>
          <w:b/>
          <w:bCs/>
          <w:i/>
          <w:iCs/>
          <w:noProof/>
        </w:rPr>
        <w:t>18</w:t>
      </w:r>
      <w:r w:rsidRPr="004F0D45">
        <w:rPr>
          <w:b/>
          <w:bCs/>
          <w:i/>
          <w:iCs/>
        </w:rPr>
        <w:fldChar w:fldCharType="end"/>
      </w:r>
      <w:r w:rsidRPr="004F0D45">
        <w:rPr>
          <w:rFonts w:cstheme="minorHAnsi"/>
          <w:b/>
          <w:bCs/>
          <w:i/>
          <w:iCs/>
        </w:rPr>
        <w:t>:</w:t>
      </w:r>
      <w:r>
        <w:rPr>
          <w:rFonts w:cstheme="minorHAnsi"/>
          <w:b/>
          <w:bCs/>
          <w:i/>
          <w:iCs/>
        </w:rPr>
        <w:t xml:space="preserve"> </w:t>
      </w:r>
      <w:r w:rsidRPr="00323213">
        <w:rPr>
          <w:rFonts w:cstheme="minorHAnsi"/>
          <w:b/>
          <w:bCs/>
          <w:i/>
          <w:iCs/>
        </w:rPr>
        <w:t>Occurrence of SSBs in a SBFD slot override slot partitioning</w:t>
      </w:r>
      <w:bookmarkEnd w:id="42"/>
      <w:r w:rsidR="00E9566E">
        <w:rPr>
          <w:rFonts w:cstheme="minorHAnsi"/>
          <w:b/>
          <w:bCs/>
          <w:i/>
          <w:iCs/>
        </w:rPr>
        <w:t>.</w:t>
      </w:r>
      <w:r w:rsidRPr="00323213">
        <w:rPr>
          <w:rFonts w:cstheme="minorHAnsi"/>
          <w:b/>
          <w:bCs/>
          <w:i/>
          <w:iCs/>
        </w:rPr>
        <w:t xml:space="preserve">  </w:t>
      </w:r>
    </w:p>
    <w:p w14:paraId="773DE212" w14:textId="64B054E6" w:rsidR="0099307C" w:rsidRPr="004F0D45" w:rsidRDefault="0099307C" w:rsidP="005D664D">
      <w:pPr>
        <w:pStyle w:val="Heading1"/>
        <w:jc w:val="both"/>
      </w:pPr>
      <w:r w:rsidRPr="004F0D45">
        <w:t>Conclusion</w:t>
      </w:r>
    </w:p>
    <w:p w14:paraId="3A19D090" w14:textId="4E53C691" w:rsidR="00AA5D66" w:rsidRPr="004F0D45" w:rsidRDefault="00777AB2" w:rsidP="005D664D">
      <w:pPr>
        <w:jc w:val="both"/>
        <w:rPr>
          <w:rStyle w:val="normaltextrun"/>
          <w:shd w:val="clear" w:color="auto" w:fill="FFFFFF"/>
        </w:rPr>
      </w:pPr>
      <w:r w:rsidRPr="004F0D45">
        <w:rPr>
          <w:rStyle w:val="normaltextrun"/>
          <w:shd w:val="clear" w:color="auto" w:fill="FFFFFF"/>
        </w:rPr>
        <w:t>In this contribution, we discussed</w:t>
      </w:r>
      <w:r w:rsidR="00F31AC9">
        <w:rPr>
          <w:rStyle w:val="normaltextrun"/>
          <w:shd w:val="clear" w:color="auto" w:fill="FFFFFF"/>
        </w:rPr>
        <w:t xml:space="preserve"> indication of time/frequency location of SBFD subbands. We also provided our views on SBFD-aware UE behaviour in SBFD symbols. </w:t>
      </w:r>
    </w:p>
    <w:p w14:paraId="098FECD7" w14:textId="5C2AE8AA"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_Ref159007696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1</w:t>
      </w:r>
      <w:r w:rsidR="00CA6417" w:rsidRPr="004F0D45">
        <w:t xml:space="preserve">: </w:t>
      </w:r>
      <w:r w:rsidR="00CA6417">
        <w:rPr>
          <w:b/>
          <w:bCs/>
          <w:i/>
          <w:iCs/>
        </w:rPr>
        <w:t>A different interpretation is required when a special slot is indicated as a SBFD slot, since the slot contains a mix of symbol types.</w:t>
      </w:r>
      <w:r>
        <w:rPr>
          <w:b/>
          <w:bCs/>
          <w:i/>
          <w:iCs/>
          <w:bdr w:val="none" w:sz="0" w:space="0" w:color="auto" w:frame="1"/>
        </w:rPr>
        <w:fldChar w:fldCharType="end"/>
      </w:r>
    </w:p>
    <w:p w14:paraId="7C78F1F6" w14:textId="22F1DEF9"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_Ref159007700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2</w:t>
      </w:r>
      <w:r w:rsidR="00CA6417" w:rsidRPr="004F0D45">
        <w:t xml:space="preserve">: </w:t>
      </w:r>
      <w:r w:rsidR="00CA6417">
        <w:rPr>
          <w:b/>
          <w:bCs/>
          <w:i/>
          <w:iCs/>
        </w:rPr>
        <w:t>FDRA Type-0 can directly be reused for SBFD operation with no specification impact</w:t>
      </w:r>
      <w:r>
        <w:rPr>
          <w:b/>
          <w:bCs/>
          <w:i/>
          <w:iCs/>
          <w:bdr w:val="none" w:sz="0" w:space="0" w:color="auto" w:frame="1"/>
        </w:rPr>
        <w:fldChar w:fldCharType="end"/>
      </w:r>
    </w:p>
    <w:p w14:paraId="62182F65" w14:textId="50EEBEF9" w:rsidR="00E82D78" w:rsidRDefault="00E82D78"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_Ref159055858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3</w:t>
      </w:r>
      <w:r w:rsidR="00CA6417" w:rsidRPr="004F0D45">
        <w:t xml:space="preserve">: </w:t>
      </w:r>
      <w:r w:rsidR="00CA6417">
        <w:rPr>
          <w:b/>
          <w:bCs/>
          <w:i/>
          <w:iCs/>
        </w:rPr>
        <w:t>Non-contiguous resource allocation using FDRA Type-1 can be achieved by</w:t>
      </w:r>
      <w:r w:rsidR="00CA6417" w:rsidRPr="00DC25AE">
        <w:rPr>
          <w:color w:val="000000" w:themeColor="text1"/>
        </w:rPr>
        <w:t xml:space="preserve"> </w:t>
      </w:r>
      <w:r w:rsidR="00CA6417" w:rsidRPr="000E73C4">
        <w:rPr>
          <w:b/>
          <w:bCs/>
          <w:i/>
          <w:iCs/>
          <w:color w:val="000000" w:themeColor="text1"/>
        </w:rPr>
        <w:t>configuring a single contiguous resource</w:t>
      </w:r>
      <w:r w:rsidR="00CA6417" w:rsidRPr="000E73C4">
        <w:rPr>
          <w:b/>
          <w:bCs/>
          <w:i/>
          <w:iCs/>
        </w:rPr>
        <w:t xml:space="preserve"> </w:t>
      </w:r>
      <w:r w:rsidR="00CA6417" w:rsidRPr="000E73C4">
        <w:rPr>
          <w:b/>
          <w:bCs/>
          <w:i/>
          <w:iCs/>
          <w:color w:val="000000" w:themeColor="text1"/>
        </w:rPr>
        <w:t>and excluding any portion of allocated resources that fall outside the downlink subband(s)</w:t>
      </w:r>
      <w:r>
        <w:rPr>
          <w:b/>
          <w:bCs/>
          <w:i/>
          <w:iCs/>
          <w:bdr w:val="none" w:sz="0" w:space="0" w:color="auto" w:frame="1"/>
        </w:rPr>
        <w:fldChar w:fldCharType="end"/>
      </w:r>
    </w:p>
    <w:p w14:paraId="40DFBDB9" w14:textId="77777777" w:rsidR="00CA6417" w:rsidRDefault="00F87267" w:rsidP="00A577F1">
      <w:pPr>
        <w:spacing w:after="0"/>
        <w:jc w:val="both"/>
        <w:rPr>
          <w:b/>
          <w:bCs/>
          <w:i/>
          <w:iCs/>
          <w:strike/>
        </w:rPr>
      </w:pPr>
      <w:r>
        <w:rPr>
          <w:b/>
          <w:bCs/>
          <w:i/>
          <w:iCs/>
          <w:bdr w:val="none" w:sz="0" w:space="0" w:color="auto" w:frame="1"/>
        </w:rPr>
        <w:fldChar w:fldCharType="begin"/>
      </w:r>
      <w:r>
        <w:rPr>
          <w:b/>
          <w:bCs/>
          <w:i/>
          <w:iCs/>
          <w:bdr w:val="none" w:sz="0" w:space="0" w:color="auto" w:frame="1"/>
        </w:rPr>
        <w:instrText xml:space="preserve"> REF _Ref159007708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4</w:t>
      </w:r>
      <w:r w:rsidR="00CA6417" w:rsidRPr="004F0D45">
        <w:t xml:space="preserve">: </w:t>
      </w:r>
      <w:r w:rsidR="00CA6417">
        <w:rPr>
          <w:b/>
          <w:bCs/>
          <w:i/>
          <w:iCs/>
        </w:rPr>
        <w:t>If non-contiguous resource allocation is supported for FDRA Type-1, any potential issues with VRB-to-PRB interleaving can be avoided by adopting RB reindexing.</w:t>
      </w:r>
      <w:r>
        <w:rPr>
          <w:b/>
          <w:bCs/>
          <w:i/>
          <w:iCs/>
          <w:bdr w:val="none" w:sz="0" w:space="0" w:color="auto" w:frame="1"/>
        </w:rPr>
        <w:fldChar w:fldCharType="end"/>
      </w:r>
      <w:r w:rsidR="002F327E">
        <w:rPr>
          <w:b/>
          <w:bCs/>
          <w:i/>
          <w:iCs/>
          <w:bdr w:val="none" w:sz="0" w:space="0" w:color="auto" w:frame="1"/>
        </w:rPr>
        <w:fldChar w:fldCharType="begin"/>
      </w:r>
      <w:r w:rsidR="002F327E">
        <w:rPr>
          <w:b/>
          <w:bCs/>
          <w:i/>
          <w:iCs/>
          <w:bdr w:val="none" w:sz="0" w:space="0" w:color="auto" w:frame="1"/>
        </w:rPr>
        <w:instrText xml:space="preserve"> REF _Ref159057736 \h </w:instrText>
      </w:r>
      <w:r w:rsidR="002F327E">
        <w:rPr>
          <w:b/>
          <w:bCs/>
          <w:i/>
          <w:iCs/>
          <w:bdr w:val="none" w:sz="0" w:space="0" w:color="auto" w:frame="1"/>
        </w:rPr>
      </w:r>
      <w:r w:rsidR="002F327E">
        <w:rPr>
          <w:b/>
          <w:bCs/>
          <w:i/>
          <w:iCs/>
          <w:bdr w:val="none" w:sz="0" w:space="0" w:color="auto" w:frame="1"/>
        </w:rPr>
        <w:fldChar w:fldCharType="separate"/>
      </w:r>
    </w:p>
    <w:p w14:paraId="2B40721B" w14:textId="208A61C2" w:rsidR="002F327E" w:rsidRDefault="00CA6417" w:rsidP="005A07CF">
      <w:pPr>
        <w:spacing w:after="60"/>
        <w:jc w:val="both"/>
        <w:rPr>
          <w:b/>
          <w:bCs/>
          <w:i/>
          <w:iCs/>
          <w:bdr w:val="none" w:sz="0" w:space="0" w:color="auto" w:frame="1"/>
        </w:rPr>
      </w:pPr>
      <w:r w:rsidRPr="004F0D45">
        <w:rPr>
          <w:b/>
          <w:bCs/>
          <w:i/>
          <w:iCs/>
        </w:rPr>
        <w:lastRenderedPageBreak/>
        <w:t xml:space="preserve">Observation </w:t>
      </w:r>
      <w:r>
        <w:rPr>
          <w:b/>
          <w:bCs/>
          <w:i/>
          <w:iCs/>
          <w:noProof/>
        </w:rPr>
        <w:t>5</w:t>
      </w:r>
      <w:r w:rsidRPr="004F0D45">
        <w:t xml:space="preserve">: </w:t>
      </w:r>
      <w:r w:rsidRPr="00AE0DCE">
        <w:rPr>
          <w:b/>
          <w:bCs/>
          <w:i/>
          <w:iCs/>
        </w:rPr>
        <w:t xml:space="preserve">The </w:t>
      </w:r>
      <w:r w:rsidRPr="00AE0DCE">
        <w:rPr>
          <w:rFonts w:eastAsia="Malgun Gothic"/>
          <w:b/>
          <w:bCs/>
          <w:i/>
          <w:iCs/>
          <w:lang w:eastAsia="zh-CN"/>
        </w:rPr>
        <w:t xml:space="preserve">impact of </w:t>
      </w:r>
      <w:r w:rsidRPr="00AE0DCE">
        <w:rPr>
          <w:b/>
          <w:bCs/>
          <w:i/>
          <w:iCs/>
        </w:rPr>
        <w:t>non-contiguous CSI-RS allocation (using either Option 1 or Option 2-2) on measurement accuracy is still unclear.</w:t>
      </w:r>
      <w:r w:rsidR="002F327E">
        <w:rPr>
          <w:b/>
          <w:bCs/>
          <w:i/>
          <w:iCs/>
          <w:bdr w:val="none" w:sz="0" w:space="0" w:color="auto" w:frame="1"/>
        </w:rPr>
        <w:fldChar w:fldCharType="end"/>
      </w:r>
    </w:p>
    <w:p w14:paraId="478ADD3A" w14:textId="18BE0979"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_Ref131537355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6</w:t>
      </w:r>
      <w:r w:rsidR="00CA6417" w:rsidRPr="004F0D45">
        <w:t>:</w:t>
      </w:r>
      <w:r w:rsidR="00CA6417">
        <w:t xml:space="preserve"> </w:t>
      </w:r>
      <w:r w:rsidR="00CA6417" w:rsidRPr="004F0D45">
        <w:rPr>
          <w:b/>
          <w:bCs/>
          <w:i/>
          <w:iCs/>
        </w:rPr>
        <w:t>For periodic/semi-persistent CSI reporting</w:t>
      </w:r>
      <w:r w:rsidR="00CA6417">
        <w:rPr>
          <w:b/>
          <w:bCs/>
          <w:i/>
          <w:iCs/>
        </w:rPr>
        <w:t xml:space="preserve"> PUSCH</w:t>
      </w:r>
      <w:r w:rsidR="00CA6417" w:rsidRPr="004F0D45">
        <w:rPr>
          <w:b/>
          <w:bCs/>
          <w:i/>
          <w:iCs/>
        </w:rPr>
        <w:t>, Option 1-1</w:t>
      </w:r>
      <w:r w:rsidR="00CA6417">
        <w:rPr>
          <w:b/>
          <w:bCs/>
          <w:i/>
          <w:iCs/>
        </w:rPr>
        <w:t xml:space="preserve"> </w:t>
      </w:r>
      <w:r w:rsidR="00CA6417" w:rsidRPr="004F0D45">
        <w:rPr>
          <w:b/>
          <w:bCs/>
          <w:i/>
          <w:iCs/>
        </w:rPr>
        <w:t>for CSI report associated with periodic/semi-persistent CSI-RS</w:t>
      </w:r>
      <w:r w:rsidR="00CA6417">
        <w:rPr>
          <w:b/>
          <w:bCs/>
          <w:i/>
          <w:iCs/>
        </w:rPr>
        <w:t xml:space="preserve"> can be achieved by </w:t>
      </w:r>
      <w:r w:rsidR="00CA6417" w:rsidRPr="004F0D45">
        <w:rPr>
          <w:b/>
          <w:bCs/>
          <w:i/>
          <w:iCs/>
        </w:rPr>
        <w:t>the existing specification</w:t>
      </w:r>
      <w:r>
        <w:rPr>
          <w:b/>
          <w:bCs/>
          <w:i/>
          <w:iCs/>
          <w:bdr w:val="none" w:sz="0" w:space="0" w:color="auto" w:frame="1"/>
        </w:rPr>
        <w:fldChar w:fldCharType="end"/>
      </w:r>
    </w:p>
    <w:p w14:paraId="3BA3614E" w14:textId="0E6E72E9"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_Ref159007714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7</w:t>
      </w:r>
      <w:r w:rsidR="00CA6417" w:rsidRPr="004F0D45">
        <w:t xml:space="preserve">: </w:t>
      </w:r>
      <w:r w:rsidR="00CA6417">
        <w:rPr>
          <w:b/>
          <w:bCs/>
          <w:i/>
          <w:iCs/>
        </w:rPr>
        <w:t>To support slot-specific</w:t>
      </w:r>
      <w:r w:rsidR="00CA6417" w:rsidRPr="004F0D45">
        <w:rPr>
          <w:b/>
          <w:bCs/>
          <w:i/>
          <w:iCs/>
        </w:rPr>
        <w:t xml:space="preserve"> semi-persistent CSI reporting</w:t>
      </w:r>
      <w:r w:rsidR="00CA6417">
        <w:rPr>
          <w:b/>
          <w:bCs/>
          <w:i/>
          <w:iCs/>
        </w:rPr>
        <w:t xml:space="preserve"> PUCCH</w:t>
      </w:r>
      <w:r w:rsidR="00CA6417" w:rsidRPr="004F0D45">
        <w:rPr>
          <w:b/>
          <w:bCs/>
          <w:i/>
          <w:iCs/>
        </w:rPr>
        <w:t xml:space="preserve">, </w:t>
      </w:r>
      <w:r w:rsidR="00CA6417">
        <w:rPr>
          <w:b/>
          <w:bCs/>
          <w:i/>
          <w:iCs/>
        </w:rPr>
        <w:t xml:space="preserve">multiple </w:t>
      </w:r>
      <w:r w:rsidR="00CA6417" w:rsidRPr="00D46A3C">
        <w:rPr>
          <w:b/>
          <w:bCs/>
          <w:i/>
          <w:iCs/>
          <w:lang w:val="en-US"/>
        </w:rPr>
        <w:t>CSI report configuration</w:t>
      </w:r>
      <w:r w:rsidR="00CA6417">
        <w:rPr>
          <w:b/>
          <w:bCs/>
          <w:i/>
          <w:iCs/>
          <w:lang w:val="en-US"/>
        </w:rPr>
        <w:t xml:space="preserve"> must be activated by MAC CE</w:t>
      </w:r>
      <w:r>
        <w:rPr>
          <w:b/>
          <w:bCs/>
          <w:i/>
          <w:iCs/>
          <w:bdr w:val="none" w:sz="0" w:space="0" w:color="auto" w:frame="1"/>
        </w:rPr>
        <w:fldChar w:fldCharType="end"/>
      </w:r>
    </w:p>
    <w:p w14:paraId="66D9CC7A" w14:textId="477B62BB"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_Ref127193464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8</w:t>
      </w:r>
      <w:r w:rsidR="00CA6417" w:rsidRPr="004F0D45">
        <w:t xml:space="preserve">: </w:t>
      </w:r>
      <w:r w:rsidR="00CA6417" w:rsidRPr="004F0D45">
        <w:rPr>
          <w:b/>
          <w:bCs/>
          <w:i/>
          <w:iCs/>
        </w:rPr>
        <w:t>For multi-slot transmissions</w:t>
      </w:r>
      <w:r w:rsidR="00CA6417">
        <w:rPr>
          <w:b/>
          <w:bCs/>
          <w:i/>
          <w:iCs/>
        </w:rPr>
        <w:t>/reception</w:t>
      </w:r>
      <w:r w:rsidR="00CA6417" w:rsidRPr="004F0D45">
        <w:rPr>
          <w:b/>
          <w:bCs/>
          <w:i/>
          <w:iCs/>
        </w:rPr>
        <w:t>, a single FDRA is configured for all slots. This may impact flexibility in resource allocation in SBFD since it has two types of slots with different bandwidths.</w:t>
      </w:r>
      <w:r>
        <w:rPr>
          <w:b/>
          <w:bCs/>
          <w:i/>
          <w:iCs/>
          <w:bdr w:val="none" w:sz="0" w:space="0" w:color="auto" w:frame="1"/>
        </w:rPr>
        <w:fldChar w:fldCharType="end"/>
      </w:r>
    </w:p>
    <w:p w14:paraId="57DCFC1B" w14:textId="257216B2" w:rsidR="00F87267"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_Ref159007718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9</w:t>
      </w:r>
      <w:r w:rsidR="00CA6417" w:rsidRPr="004F0D45">
        <w:t xml:space="preserve">: </w:t>
      </w:r>
      <w:r w:rsidR="00CA6417">
        <w:rPr>
          <w:b/>
          <w:bCs/>
          <w:i/>
          <w:iCs/>
        </w:rPr>
        <w:t>UEs in a cell are expected to perform measurement during SSB occasions. Since UEs are half duplex, uplink transmission can therefore not be expected during SSB occasions.</w:t>
      </w:r>
      <w:r>
        <w:rPr>
          <w:b/>
          <w:bCs/>
          <w:i/>
          <w:iCs/>
          <w:bdr w:val="none" w:sz="0" w:space="0" w:color="auto" w:frame="1"/>
        </w:rPr>
        <w:fldChar w:fldCharType="end"/>
      </w:r>
    </w:p>
    <w:p w14:paraId="18C2669E" w14:textId="4416BCC0" w:rsidR="00AA5C5C" w:rsidRDefault="00F87267"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_Ref159007719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Observation </w:t>
      </w:r>
      <w:r w:rsidR="00CA6417">
        <w:rPr>
          <w:b/>
          <w:bCs/>
          <w:i/>
          <w:iCs/>
          <w:noProof/>
        </w:rPr>
        <w:t>10</w:t>
      </w:r>
      <w:r w:rsidR="00CA6417" w:rsidRPr="004F0D45">
        <w:t xml:space="preserve">: </w:t>
      </w:r>
      <w:r w:rsidR="00CA6417">
        <w:rPr>
          <w:b/>
          <w:bCs/>
          <w:i/>
          <w:iCs/>
        </w:rPr>
        <w:t>The cost of overriding SBFD partitioning on uplink is manageable.</w:t>
      </w:r>
      <w:r>
        <w:rPr>
          <w:b/>
          <w:bCs/>
          <w:i/>
          <w:iCs/>
          <w:bdr w:val="none" w:sz="0" w:space="0" w:color="auto" w:frame="1"/>
        </w:rPr>
        <w:fldChar w:fldCharType="end"/>
      </w:r>
    </w:p>
    <w:p w14:paraId="0E98ACD4" w14:textId="1AA948AD" w:rsidR="00C07FC1" w:rsidRDefault="00C07FC1" w:rsidP="005A07CF">
      <w:pPr>
        <w:spacing w:after="60"/>
        <w:jc w:val="both"/>
        <w:rPr>
          <w:b/>
          <w:bCs/>
          <w:i/>
          <w:iCs/>
          <w:bdr w:val="none" w:sz="0" w:space="0" w:color="auto" w:frame="1"/>
        </w:rPr>
      </w:pPr>
    </w:p>
    <w:p w14:paraId="364D191B" w14:textId="0F04CD9C"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_Ref159007838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w:t>
      </w:r>
      <w:r w:rsidR="00CA6417" w:rsidRPr="004F0D45">
        <w:rPr>
          <w:rFonts w:cstheme="minorHAnsi"/>
          <w:b/>
          <w:bCs/>
          <w:i/>
          <w:iCs/>
        </w:rPr>
        <w:t xml:space="preserve">: </w:t>
      </w:r>
      <w:r w:rsidR="00CA6417">
        <w:rPr>
          <w:b/>
          <w:bCs/>
          <w:i/>
          <w:iCs/>
        </w:rPr>
        <w:t xml:space="preserve">Provide a new higher layer parament to </w:t>
      </w:r>
      <w:r w:rsidR="00CA6417" w:rsidRPr="004D6DBB">
        <w:rPr>
          <w:b/>
          <w:bCs/>
          <w:i/>
          <w:iCs/>
        </w:rPr>
        <w:t xml:space="preserve">indicate time location of SBFD subbands to SBFD-aware </w:t>
      </w:r>
      <w:r w:rsidR="00CA6417">
        <w:rPr>
          <w:b/>
          <w:bCs/>
          <w:i/>
          <w:iCs/>
        </w:rPr>
        <w:t>UE</w:t>
      </w:r>
      <w:r>
        <w:rPr>
          <w:b/>
          <w:bCs/>
          <w:i/>
          <w:iCs/>
          <w:bdr w:val="none" w:sz="0" w:space="0" w:color="auto" w:frame="1"/>
        </w:rPr>
        <w:fldChar w:fldCharType="end"/>
      </w:r>
    </w:p>
    <w:p w14:paraId="6B55D67C" w14:textId="1726BEA0"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_Ref159007842 \h </w:instrText>
      </w:r>
      <w:r>
        <w:rPr>
          <w:b/>
          <w:bCs/>
          <w:i/>
          <w:iCs/>
          <w:bdr w:val="none" w:sz="0" w:space="0" w:color="auto" w:frame="1"/>
        </w:rPr>
      </w:r>
      <w:r>
        <w:rPr>
          <w:b/>
          <w:bCs/>
          <w:i/>
          <w:iCs/>
          <w:bdr w:val="none" w:sz="0" w:space="0" w:color="auto" w:frame="1"/>
        </w:rPr>
        <w:fldChar w:fldCharType="separate"/>
      </w:r>
      <w:r w:rsidR="00CA6417" w:rsidRPr="004F0D45">
        <w:rPr>
          <w:b/>
          <w:bCs/>
          <w:i/>
          <w:iCs/>
        </w:rPr>
        <w:t>Propo</w:t>
      </w:r>
      <w:r w:rsidR="00CA6417" w:rsidRPr="004F0D45">
        <w:rPr>
          <w:b/>
          <w:bCs/>
          <w:i/>
          <w:iCs/>
        </w:rPr>
        <w:t>s</w:t>
      </w:r>
      <w:r w:rsidR="00CA6417" w:rsidRPr="004F0D45">
        <w:rPr>
          <w:b/>
          <w:bCs/>
          <w:i/>
          <w:iCs/>
        </w:rPr>
        <w:t>a</w:t>
      </w:r>
      <w:r w:rsidR="00CA6417" w:rsidRPr="004F0D45">
        <w:rPr>
          <w:b/>
          <w:bCs/>
          <w:i/>
          <w:iCs/>
        </w:rPr>
        <w:t>l</w:t>
      </w:r>
      <w:r w:rsidR="00CA6417" w:rsidRPr="004F0D45">
        <w:rPr>
          <w:b/>
          <w:bCs/>
          <w:i/>
          <w:iCs/>
        </w:rPr>
        <w:t xml:space="preserve"> </w:t>
      </w:r>
      <w:r w:rsidR="00CA6417">
        <w:rPr>
          <w:b/>
          <w:bCs/>
          <w:i/>
          <w:iCs/>
          <w:noProof/>
        </w:rPr>
        <w:t>2</w:t>
      </w:r>
      <w:r w:rsidR="00CA6417" w:rsidRPr="004F0D45">
        <w:rPr>
          <w:rFonts w:cstheme="minorHAnsi"/>
          <w:b/>
          <w:bCs/>
          <w:i/>
          <w:iCs/>
        </w:rPr>
        <w:t xml:space="preserve">: </w:t>
      </w:r>
      <w:r w:rsidR="00675453" w:rsidRPr="00CD19FF">
        <w:rPr>
          <w:rFonts w:eastAsia="Malgun Gothic"/>
          <w:b/>
          <w:bCs/>
          <w:i/>
          <w:iCs/>
          <w:lang w:val="en-US" w:eastAsia="ko-KR"/>
        </w:rPr>
        <w:t xml:space="preserve">When a slot configured as a “special” slot by </w:t>
      </w:r>
      <w:r w:rsidR="00675453">
        <w:rPr>
          <w:rFonts w:eastAsia="Malgun Gothic"/>
          <w:b/>
          <w:bCs/>
          <w:i/>
          <w:iCs/>
          <w:lang w:val="en-US" w:eastAsia="ko-KR"/>
        </w:rPr>
        <w:t>TDD</w:t>
      </w:r>
      <w:r w:rsidR="00675453" w:rsidRPr="00CD19FF">
        <w:rPr>
          <w:rFonts w:eastAsia="Malgun Gothic"/>
          <w:b/>
          <w:bCs/>
          <w:i/>
          <w:iCs/>
          <w:lang w:eastAsia="ko-KR"/>
        </w:rPr>
        <w:t>-UL-DL-ConfigCommon</w:t>
      </w:r>
      <w:r w:rsidR="00675453" w:rsidRPr="00CD19FF">
        <w:rPr>
          <w:rFonts w:eastAsia="Malgun Gothic"/>
          <w:b/>
          <w:bCs/>
          <w:i/>
          <w:iCs/>
          <w:lang w:val="en-US" w:eastAsia="ko-KR"/>
        </w:rPr>
        <w:t xml:space="preserve"> </w:t>
      </w:r>
      <w:proofErr w:type="gramStart"/>
      <w:r w:rsidR="00675453">
        <w:rPr>
          <w:rFonts w:eastAsia="Malgun Gothic"/>
          <w:b/>
          <w:bCs/>
          <w:i/>
          <w:iCs/>
          <w:lang w:val="en-US" w:eastAsia="ko-KR"/>
        </w:rPr>
        <w:t>and</w:t>
      </w:r>
      <w:r w:rsidR="00675453" w:rsidRPr="00CD19FF">
        <w:rPr>
          <w:rFonts w:eastAsia="Malgun Gothic"/>
          <w:b/>
          <w:bCs/>
          <w:i/>
          <w:iCs/>
          <w:lang w:val="en-US" w:eastAsia="ko-KR"/>
        </w:rPr>
        <w:t xml:space="preserve"> also</w:t>
      </w:r>
      <w:proofErr w:type="gramEnd"/>
      <w:r w:rsidR="00675453" w:rsidRPr="00CD19FF">
        <w:rPr>
          <w:rFonts w:eastAsia="Malgun Gothic"/>
          <w:b/>
          <w:bCs/>
          <w:i/>
          <w:iCs/>
          <w:lang w:val="en-US" w:eastAsia="ko-KR"/>
        </w:rPr>
        <w:t xml:space="preserve"> indicated as a SBFD slot, the UE considers only downlink and/or flexible symbols of the “special” slot as SBFD symbols</w:t>
      </w:r>
      <w:r w:rsidR="00675453">
        <w:rPr>
          <w:rFonts w:eastAsia="Malgun Gothic"/>
          <w:b/>
          <w:bCs/>
          <w:i/>
          <w:iCs/>
          <w:lang w:val="en-US" w:eastAsia="ko-KR"/>
        </w:rPr>
        <w:t xml:space="preserve"> – uplink symbols a special slot are not considered as partitioned</w:t>
      </w:r>
      <w:r w:rsidR="00CA6417">
        <w:rPr>
          <w:rFonts w:eastAsia="Malgun Gothic"/>
          <w:b/>
          <w:bCs/>
          <w:i/>
          <w:iCs/>
          <w:lang w:val="en-US" w:eastAsia="ko-KR"/>
        </w:rPr>
        <w:t>.</w:t>
      </w:r>
      <w:r>
        <w:rPr>
          <w:b/>
          <w:bCs/>
          <w:i/>
          <w:iCs/>
          <w:bdr w:val="none" w:sz="0" w:space="0" w:color="auto" w:frame="1"/>
        </w:rPr>
        <w:fldChar w:fldCharType="end"/>
      </w:r>
    </w:p>
    <w:p w14:paraId="2547BADF" w14:textId="6DDE4993"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_Ref159007855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3</w:t>
      </w:r>
      <w:r w:rsidR="00CA6417" w:rsidRPr="004F0D45">
        <w:rPr>
          <w:rFonts w:cstheme="minorHAnsi"/>
          <w:b/>
          <w:bCs/>
          <w:i/>
          <w:iCs/>
        </w:rPr>
        <w:t>:</w:t>
      </w:r>
      <w:r w:rsidR="00CA6417">
        <w:rPr>
          <w:rFonts w:cstheme="minorHAnsi"/>
          <w:b/>
          <w:bCs/>
          <w:i/>
          <w:iCs/>
        </w:rPr>
        <w:t xml:space="preserve"> </w:t>
      </w:r>
      <w:r w:rsidR="00CA6417" w:rsidRPr="001E3A20">
        <w:rPr>
          <w:rFonts w:eastAsia="Malgun Gothic"/>
          <w:b/>
          <w:bCs/>
          <w:i/>
          <w:iCs/>
          <w:lang w:eastAsia="ko-KR"/>
        </w:rPr>
        <w:t xml:space="preserve">If a </w:t>
      </w:r>
      <w:r w:rsidR="00CA6417" w:rsidRPr="001E3A20">
        <w:rPr>
          <w:b/>
          <w:bCs/>
          <w:i/>
          <w:iCs/>
        </w:rPr>
        <w:t xml:space="preserve">“flexible” slot </w:t>
      </w:r>
      <w:r w:rsidR="00CA6417" w:rsidRPr="001E3A20">
        <w:rPr>
          <w:rFonts w:eastAsia="Malgun Gothic"/>
          <w:b/>
          <w:bCs/>
          <w:i/>
          <w:iCs/>
          <w:lang w:eastAsia="ko-KR"/>
        </w:rPr>
        <w:t xml:space="preserve">is indicated as a SBFD slot, </w:t>
      </w:r>
      <w:r w:rsidR="00CA6417" w:rsidRPr="001E3A20">
        <w:rPr>
          <w:b/>
          <w:bCs/>
          <w:i/>
          <w:iCs/>
        </w:rPr>
        <w:t xml:space="preserve">the UE does not expect </w:t>
      </w:r>
      <w:r w:rsidR="00CA6417">
        <w:rPr>
          <w:b/>
          <w:bCs/>
          <w:i/>
          <w:iCs/>
        </w:rPr>
        <w:t xml:space="preserve">the </w:t>
      </w:r>
      <w:r w:rsidR="00CA6417" w:rsidRPr="001E3A20">
        <w:rPr>
          <w:b/>
          <w:bCs/>
          <w:i/>
          <w:iCs/>
        </w:rPr>
        <w:t xml:space="preserve">slot to be reconfigured as a “special” slot </w:t>
      </w:r>
      <w:r w:rsidR="00CA6417">
        <w:rPr>
          <w:b/>
          <w:bCs/>
          <w:i/>
          <w:iCs/>
        </w:rPr>
        <w:t>using</w:t>
      </w:r>
      <w:r w:rsidR="00CA6417" w:rsidRPr="001E3A20">
        <w:rPr>
          <w:b/>
          <w:bCs/>
          <w:i/>
          <w:iCs/>
        </w:rPr>
        <w:t xml:space="preserve"> </w:t>
      </w:r>
      <w:r>
        <w:rPr>
          <w:b/>
          <w:bCs/>
          <w:i/>
          <w:iCs/>
          <w:bdr w:val="none" w:sz="0" w:space="0" w:color="auto" w:frame="1"/>
        </w:rPr>
        <w:fldChar w:fldCharType="end"/>
      </w:r>
      <w:r w:rsidR="00675453" w:rsidRPr="005126FB">
        <w:rPr>
          <w:rFonts w:eastAsia="Malgun Gothic"/>
          <w:b/>
          <w:bCs/>
          <w:i/>
          <w:iCs/>
          <w:lang w:val="en-US" w:eastAsia="ko-KR"/>
        </w:rPr>
        <w:t>tdd-UL-DL-ConfigurationDedicated</w:t>
      </w:r>
      <w:r w:rsidR="00675453">
        <w:rPr>
          <w:rFonts w:eastAsia="Malgun Gothic"/>
          <w:b/>
          <w:bCs/>
          <w:i/>
          <w:iCs/>
          <w:lang w:val="en-US" w:eastAsia="ko-KR"/>
        </w:rPr>
        <w:t>.</w:t>
      </w:r>
    </w:p>
    <w:p w14:paraId="025ABE0E" w14:textId="03B96F16"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_Ref159007862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4</w:t>
      </w:r>
      <w:r w:rsidR="00CA6417" w:rsidRPr="004F0D45">
        <w:rPr>
          <w:rFonts w:cstheme="minorHAnsi"/>
          <w:b/>
          <w:bCs/>
          <w:i/>
          <w:iCs/>
        </w:rPr>
        <w:t>:</w:t>
      </w:r>
      <w:r w:rsidR="00CA6417">
        <w:rPr>
          <w:rFonts w:cstheme="minorHAnsi"/>
          <w:b/>
          <w:bCs/>
          <w:i/>
          <w:iCs/>
        </w:rPr>
        <w:t xml:space="preserve"> </w:t>
      </w:r>
      <w:r w:rsidR="00CA6417" w:rsidRPr="00422900">
        <w:rPr>
          <w:b/>
          <w:bCs/>
          <w:i/>
          <w:iCs/>
        </w:rPr>
        <w:t>The SBFD subbands are configured per carrier</w:t>
      </w:r>
      <w:r>
        <w:rPr>
          <w:b/>
          <w:bCs/>
          <w:i/>
          <w:iCs/>
          <w:bdr w:val="none" w:sz="0" w:space="0" w:color="auto" w:frame="1"/>
        </w:rPr>
        <w:fldChar w:fldCharType="end"/>
      </w:r>
      <w:r w:rsidR="00675453">
        <w:rPr>
          <w:b/>
          <w:bCs/>
          <w:i/>
          <w:iCs/>
          <w:bdr w:val="none" w:sz="0" w:space="0" w:color="auto" w:frame="1"/>
        </w:rPr>
        <w:t>.</w:t>
      </w:r>
    </w:p>
    <w:p w14:paraId="7445CBA0" w14:textId="0C993D32"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_Ref159007868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5</w:t>
      </w:r>
      <w:r w:rsidR="00CA6417" w:rsidRPr="004F0D45">
        <w:rPr>
          <w:rFonts w:cstheme="minorHAnsi"/>
          <w:b/>
          <w:bCs/>
          <w:i/>
          <w:iCs/>
        </w:rPr>
        <w:t>:</w:t>
      </w:r>
      <w:r w:rsidR="00CA6417">
        <w:rPr>
          <w:rFonts w:cstheme="minorHAnsi"/>
          <w:b/>
          <w:bCs/>
          <w:i/>
          <w:iCs/>
        </w:rPr>
        <w:t xml:space="preserve"> </w:t>
      </w:r>
      <w:r w:rsidR="00CA6417">
        <w:rPr>
          <w:b/>
          <w:bCs/>
          <w:i/>
          <w:iCs/>
        </w:rPr>
        <w:t xml:space="preserve">Provide new higher layer parameter </w:t>
      </w:r>
      <w:r w:rsidR="00CA6417" w:rsidRPr="00ED4B8C">
        <w:rPr>
          <w:b/>
          <w:bCs/>
          <w:i/>
          <w:iCs/>
        </w:rPr>
        <w:t xml:space="preserve">within </w:t>
      </w:r>
      <w:r w:rsidR="00CA6417" w:rsidRPr="00ED4B8C">
        <w:rPr>
          <w:b/>
          <w:bCs/>
          <w:i/>
          <w:iCs/>
          <w:lang w:val="en-US"/>
        </w:rPr>
        <w:t>FrequencyInfoDL-SIB</w:t>
      </w:r>
      <w:r w:rsidR="00CA6417">
        <w:rPr>
          <w:b/>
          <w:bCs/>
          <w:i/>
          <w:iCs/>
        </w:rPr>
        <w:t xml:space="preserve"> to </w:t>
      </w:r>
      <w:r w:rsidR="00CA6417" w:rsidRPr="004D6DBB">
        <w:rPr>
          <w:b/>
          <w:bCs/>
          <w:i/>
          <w:iCs/>
        </w:rPr>
        <w:t xml:space="preserve">indicate </w:t>
      </w:r>
      <w:r w:rsidR="00CA6417">
        <w:rPr>
          <w:b/>
          <w:bCs/>
          <w:i/>
          <w:iCs/>
        </w:rPr>
        <w:t>frequency</w:t>
      </w:r>
      <w:r w:rsidR="00CA6417" w:rsidRPr="004D6DBB">
        <w:rPr>
          <w:b/>
          <w:bCs/>
          <w:i/>
          <w:iCs/>
        </w:rPr>
        <w:t xml:space="preserve"> location of SBFD subbands</w:t>
      </w:r>
      <w:r w:rsidR="00CA6417">
        <w:rPr>
          <w:b/>
          <w:bCs/>
          <w:i/>
          <w:iCs/>
        </w:rPr>
        <w:t>.</w:t>
      </w:r>
      <w:r w:rsidR="00CA6417" w:rsidRPr="004D6DBB">
        <w:rPr>
          <w:b/>
          <w:bCs/>
          <w:i/>
          <w:iCs/>
        </w:rPr>
        <w:t xml:space="preserve"> </w:t>
      </w:r>
      <w:r>
        <w:rPr>
          <w:b/>
          <w:bCs/>
          <w:i/>
          <w:iCs/>
          <w:bdr w:val="none" w:sz="0" w:space="0" w:color="auto" w:frame="1"/>
        </w:rPr>
        <w:fldChar w:fldCharType="end"/>
      </w:r>
    </w:p>
    <w:p w14:paraId="36B74349" w14:textId="5484557A"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_Ref159007876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6</w:t>
      </w:r>
      <w:r w:rsidR="00CA6417" w:rsidRPr="004F0D45">
        <w:rPr>
          <w:rFonts w:cstheme="minorHAnsi"/>
          <w:b/>
          <w:bCs/>
          <w:i/>
          <w:iCs/>
        </w:rPr>
        <w:t>:</w:t>
      </w:r>
      <w:r w:rsidR="00CA6417">
        <w:rPr>
          <w:rFonts w:cstheme="minorHAnsi"/>
          <w:b/>
          <w:bCs/>
          <w:i/>
          <w:iCs/>
        </w:rPr>
        <w:t xml:space="preserve"> </w:t>
      </w:r>
      <w:r w:rsidR="00CA6417">
        <w:rPr>
          <w:b/>
          <w:bCs/>
          <w:i/>
          <w:iCs/>
        </w:rPr>
        <w:t>Time/frequency indication of SBFD subbands overrides flexible indication by TDD-UL-DL-ConfigCommon, i.e., a flexible symbol that has been partitioned is not considered as flexible anymore</w:t>
      </w:r>
      <w:r>
        <w:rPr>
          <w:b/>
          <w:bCs/>
          <w:i/>
          <w:iCs/>
          <w:bdr w:val="none" w:sz="0" w:space="0" w:color="auto" w:frame="1"/>
        </w:rPr>
        <w:fldChar w:fldCharType="end"/>
      </w:r>
      <w:r w:rsidR="00675453">
        <w:rPr>
          <w:b/>
          <w:bCs/>
          <w:i/>
          <w:iCs/>
          <w:bdr w:val="none" w:sz="0" w:space="0" w:color="auto" w:frame="1"/>
        </w:rPr>
        <w:t>.</w:t>
      </w:r>
    </w:p>
    <w:p w14:paraId="528BDB07" w14:textId="7D7ADDBF" w:rsidR="00675453" w:rsidRDefault="00C07FC1" w:rsidP="00675453">
      <w:pPr>
        <w:spacing w:after="0"/>
        <w:jc w:val="both"/>
        <w:rPr>
          <w:b/>
          <w:bCs/>
          <w:i/>
          <w:iCs/>
        </w:rPr>
      </w:pPr>
      <w:r>
        <w:rPr>
          <w:b/>
          <w:bCs/>
          <w:i/>
          <w:iCs/>
          <w:bdr w:val="none" w:sz="0" w:space="0" w:color="auto" w:frame="1"/>
        </w:rPr>
        <w:fldChar w:fldCharType="begin"/>
      </w:r>
      <w:r>
        <w:rPr>
          <w:b/>
          <w:bCs/>
          <w:i/>
          <w:iCs/>
          <w:bdr w:val="none" w:sz="0" w:space="0" w:color="auto" w:frame="1"/>
        </w:rPr>
        <w:instrText xml:space="preserve"> REF _Ref159007882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7</w:t>
      </w:r>
      <w:r w:rsidR="00CA6417" w:rsidRPr="004F0D45">
        <w:rPr>
          <w:rFonts w:cstheme="minorHAnsi"/>
          <w:b/>
          <w:bCs/>
          <w:i/>
          <w:iCs/>
        </w:rPr>
        <w:t>:</w:t>
      </w:r>
      <w:r w:rsidR="00CA6417">
        <w:rPr>
          <w:rFonts w:cstheme="minorHAnsi"/>
          <w:b/>
          <w:bCs/>
          <w:i/>
          <w:iCs/>
        </w:rPr>
        <w:t xml:space="preserve"> </w:t>
      </w:r>
      <w:r w:rsidR="00CA6417">
        <w:rPr>
          <w:b/>
          <w:bCs/>
          <w:i/>
          <w:iCs/>
        </w:rPr>
        <w:t xml:space="preserve">Define new frequency domain validation rules to ensure that UL transmissions and DL receptions are confined within uplink and downlink subbands, </w:t>
      </w:r>
      <w:r>
        <w:rPr>
          <w:b/>
          <w:bCs/>
          <w:i/>
          <w:iCs/>
          <w:bdr w:val="none" w:sz="0" w:space="0" w:color="auto" w:frame="1"/>
        </w:rPr>
        <w:fldChar w:fldCharType="end"/>
      </w:r>
      <w:r w:rsidR="00675453">
        <w:rPr>
          <w:b/>
          <w:bCs/>
          <w:i/>
          <w:iCs/>
        </w:rPr>
        <w:t>respectively</w:t>
      </w:r>
      <w:r w:rsidR="00675453">
        <w:rPr>
          <w:b/>
          <w:bCs/>
          <w:i/>
          <w:iCs/>
        </w:rPr>
        <w:t>:</w:t>
      </w:r>
    </w:p>
    <w:p w14:paraId="5A5E877A" w14:textId="77777777" w:rsidR="00675453" w:rsidRDefault="00675453" w:rsidP="00675453">
      <w:pPr>
        <w:pStyle w:val="ListParagraph"/>
        <w:numPr>
          <w:ilvl w:val="0"/>
          <w:numId w:val="44"/>
        </w:numPr>
        <w:ind w:hanging="357"/>
        <w:contextualSpacing w:val="0"/>
        <w:jc w:val="both"/>
        <w:rPr>
          <w:b/>
          <w:bCs/>
          <w:i/>
          <w:iCs/>
          <w:sz w:val="20"/>
          <w:szCs w:val="20"/>
        </w:rPr>
      </w:pPr>
      <w:r w:rsidRPr="00366B9E">
        <w:rPr>
          <w:b/>
          <w:bCs/>
          <w:i/>
          <w:iCs/>
          <w:sz w:val="20"/>
          <w:szCs w:val="20"/>
        </w:rPr>
        <w:t>Rule 1:</w:t>
      </w:r>
      <w:r w:rsidRPr="00885B2D">
        <w:rPr>
          <w:b/>
          <w:bCs/>
          <w:i/>
          <w:iCs/>
          <w:sz w:val="20"/>
          <w:szCs w:val="20"/>
        </w:rPr>
        <w:t xml:space="preserve"> </w:t>
      </w:r>
      <w:r>
        <w:rPr>
          <w:b/>
          <w:bCs/>
          <w:i/>
          <w:iCs/>
          <w:sz w:val="20"/>
          <w:szCs w:val="20"/>
        </w:rPr>
        <w:t>The part of UL</w:t>
      </w:r>
      <w:r w:rsidRPr="00885B2D">
        <w:rPr>
          <w:b/>
          <w:bCs/>
          <w:i/>
          <w:iCs/>
          <w:sz w:val="20"/>
          <w:szCs w:val="20"/>
        </w:rPr>
        <w:t xml:space="preserve"> </w:t>
      </w:r>
      <w:r w:rsidRPr="00366B9E">
        <w:rPr>
          <w:b/>
          <w:bCs/>
          <w:i/>
          <w:iCs/>
          <w:sz w:val="20"/>
          <w:szCs w:val="20"/>
        </w:rPr>
        <w:t>resources</w:t>
      </w:r>
      <w:r>
        <w:rPr>
          <w:b/>
          <w:bCs/>
          <w:i/>
          <w:iCs/>
          <w:sz w:val="20"/>
          <w:szCs w:val="20"/>
        </w:rPr>
        <w:t xml:space="preserve"> allocation</w:t>
      </w:r>
      <w:r w:rsidRPr="00885B2D">
        <w:rPr>
          <w:b/>
          <w:bCs/>
          <w:i/>
          <w:iCs/>
          <w:sz w:val="20"/>
          <w:szCs w:val="20"/>
        </w:rPr>
        <w:t xml:space="preserve"> on a SBFD slot/symbol </w:t>
      </w:r>
      <w:r>
        <w:rPr>
          <w:b/>
          <w:bCs/>
          <w:i/>
          <w:iCs/>
          <w:sz w:val="20"/>
          <w:szCs w:val="20"/>
        </w:rPr>
        <w:t xml:space="preserve">that falls outside outside the UL subband </w:t>
      </w:r>
      <w:r w:rsidRPr="00885B2D">
        <w:rPr>
          <w:b/>
          <w:bCs/>
          <w:i/>
          <w:iCs/>
          <w:sz w:val="20"/>
          <w:szCs w:val="20"/>
        </w:rPr>
        <w:t xml:space="preserve">is </w:t>
      </w:r>
      <w:r>
        <w:rPr>
          <w:b/>
          <w:bCs/>
          <w:i/>
          <w:iCs/>
          <w:sz w:val="20"/>
          <w:szCs w:val="20"/>
        </w:rPr>
        <w:t>considered as in</w:t>
      </w:r>
      <w:r w:rsidRPr="00885B2D">
        <w:rPr>
          <w:b/>
          <w:bCs/>
          <w:i/>
          <w:iCs/>
          <w:sz w:val="20"/>
          <w:szCs w:val="20"/>
        </w:rPr>
        <w:t xml:space="preserve">valid </w:t>
      </w:r>
      <w:r>
        <w:rPr>
          <w:b/>
          <w:bCs/>
          <w:i/>
          <w:iCs/>
          <w:sz w:val="20"/>
          <w:szCs w:val="20"/>
        </w:rPr>
        <w:t>by the UE</w:t>
      </w:r>
    </w:p>
    <w:p w14:paraId="77803313" w14:textId="77777777" w:rsidR="00675453" w:rsidRPr="00885B2D" w:rsidRDefault="00675453" w:rsidP="00675453">
      <w:pPr>
        <w:pStyle w:val="ListParagraph"/>
        <w:numPr>
          <w:ilvl w:val="1"/>
          <w:numId w:val="44"/>
        </w:numPr>
        <w:contextualSpacing w:val="0"/>
        <w:jc w:val="both"/>
        <w:rPr>
          <w:b/>
          <w:bCs/>
          <w:i/>
          <w:iCs/>
          <w:sz w:val="20"/>
          <w:szCs w:val="20"/>
        </w:rPr>
      </w:pPr>
      <w:r>
        <w:rPr>
          <w:b/>
          <w:bCs/>
          <w:i/>
          <w:iCs/>
          <w:sz w:val="20"/>
          <w:szCs w:val="20"/>
        </w:rPr>
        <w:t>FFS for SRS tranmissions on guardbands</w:t>
      </w:r>
    </w:p>
    <w:p w14:paraId="0C34655A" w14:textId="77777777" w:rsidR="00675453" w:rsidRPr="00885B2D" w:rsidRDefault="00675453" w:rsidP="00675453">
      <w:pPr>
        <w:pStyle w:val="ListParagraph"/>
        <w:numPr>
          <w:ilvl w:val="0"/>
          <w:numId w:val="44"/>
        </w:numPr>
        <w:ind w:hanging="357"/>
        <w:contextualSpacing w:val="0"/>
        <w:jc w:val="both"/>
        <w:rPr>
          <w:b/>
          <w:bCs/>
          <w:i/>
          <w:iCs/>
          <w:sz w:val="20"/>
          <w:szCs w:val="20"/>
        </w:rPr>
      </w:pPr>
      <w:r w:rsidRPr="00366B9E">
        <w:rPr>
          <w:b/>
          <w:bCs/>
          <w:i/>
          <w:iCs/>
          <w:sz w:val="20"/>
          <w:szCs w:val="20"/>
        </w:rPr>
        <w:t>Rule 2:</w:t>
      </w:r>
      <w:r w:rsidRPr="00885B2D">
        <w:rPr>
          <w:b/>
          <w:bCs/>
          <w:i/>
          <w:iCs/>
          <w:sz w:val="20"/>
          <w:szCs w:val="20"/>
        </w:rPr>
        <w:t xml:space="preserve"> </w:t>
      </w:r>
      <w:r w:rsidRPr="00682C2D">
        <w:rPr>
          <w:b/>
          <w:bCs/>
          <w:i/>
          <w:iCs/>
          <w:sz w:val="20"/>
          <w:szCs w:val="20"/>
        </w:rPr>
        <w:t xml:space="preserve">The part of </w:t>
      </w:r>
      <w:r>
        <w:rPr>
          <w:b/>
          <w:bCs/>
          <w:i/>
          <w:iCs/>
          <w:sz w:val="20"/>
          <w:szCs w:val="20"/>
        </w:rPr>
        <w:t>D</w:t>
      </w:r>
      <w:r w:rsidRPr="00682C2D">
        <w:rPr>
          <w:b/>
          <w:bCs/>
          <w:i/>
          <w:iCs/>
          <w:sz w:val="20"/>
          <w:szCs w:val="20"/>
        </w:rPr>
        <w:t xml:space="preserve">L resources allocation on a SBFD slot/symbol that falls outside outside the </w:t>
      </w:r>
      <w:r>
        <w:rPr>
          <w:b/>
          <w:bCs/>
          <w:i/>
          <w:iCs/>
          <w:sz w:val="20"/>
          <w:szCs w:val="20"/>
        </w:rPr>
        <w:t>D</w:t>
      </w:r>
      <w:r w:rsidRPr="00682C2D">
        <w:rPr>
          <w:b/>
          <w:bCs/>
          <w:i/>
          <w:iCs/>
          <w:sz w:val="20"/>
          <w:szCs w:val="20"/>
        </w:rPr>
        <w:t>L subband is considered as invalid by the UE</w:t>
      </w:r>
      <w:r w:rsidRPr="00885B2D">
        <w:rPr>
          <w:b/>
          <w:bCs/>
          <w:i/>
          <w:iCs/>
          <w:sz w:val="20"/>
          <w:szCs w:val="20"/>
        </w:rPr>
        <w:t xml:space="preserve">. </w:t>
      </w:r>
    </w:p>
    <w:p w14:paraId="3F98DF73" w14:textId="05F0E530"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_Ref159007887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8</w:t>
      </w:r>
      <w:r w:rsidR="00CA6417" w:rsidRPr="004F0D45">
        <w:rPr>
          <w:rFonts w:cstheme="minorHAnsi"/>
          <w:b/>
          <w:bCs/>
          <w:i/>
          <w:iCs/>
        </w:rPr>
        <w:t>:</w:t>
      </w:r>
      <w:r w:rsidR="00CA6417">
        <w:rPr>
          <w:rFonts w:cstheme="minorHAnsi"/>
          <w:b/>
          <w:bCs/>
          <w:i/>
          <w:iCs/>
        </w:rPr>
        <w:t xml:space="preserve"> </w:t>
      </w:r>
      <w:r w:rsidR="00CA6417">
        <w:rPr>
          <w:b/>
          <w:bCs/>
          <w:i/>
          <w:iCs/>
          <w:color w:val="000000" w:themeColor="text1"/>
        </w:rPr>
        <w:t>S</w:t>
      </w:r>
      <w:r w:rsidR="00CA6417" w:rsidRPr="004F0D45">
        <w:rPr>
          <w:b/>
          <w:bCs/>
          <w:i/>
          <w:iCs/>
          <w:color w:val="000000" w:themeColor="text1"/>
        </w:rPr>
        <w:t>upport non-contiguous</w:t>
      </w:r>
      <w:r w:rsidR="00CA6417">
        <w:rPr>
          <w:b/>
          <w:bCs/>
          <w:i/>
          <w:iCs/>
          <w:color w:val="000000" w:themeColor="text1"/>
        </w:rPr>
        <w:t xml:space="preserve"> resource allocation for </w:t>
      </w:r>
      <w:r w:rsidR="00CA6417" w:rsidRPr="004F0D45">
        <w:rPr>
          <w:b/>
          <w:bCs/>
          <w:i/>
          <w:iCs/>
          <w:color w:val="000000" w:themeColor="text1"/>
        </w:rPr>
        <w:t>Type-1 FDRA</w:t>
      </w:r>
      <w:r>
        <w:rPr>
          <w:b/>
          <w:bCs/>
          <w:i/>
          <w:iCs/>
          <w:bdr w:val="none" w:sz="0" w:space="0" w:color="auto" w:frame="1"/>
        </w:rPr>
        <w:fldChar w:fldCharType="end"/>
      </w:r>
      <w:r w:rsidR="00675453">
        <w:rPr>
          <w:b/>
          <w:bCs/>
          <w:i/>
          <w:iCs/>
          <w:bdr w:val="none" w:sz="0" w:space="0" w:color="auto" w:frame="1"/>
        </w:rPr>
        <w:t>.</w:t>
      </w:r>
    </w:p>
    <w:p w14:paraId="15FED7EE" w14:textId="2B8E1CBA"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_Ref159007892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9</w:t>
      </w:r>
      <w:r w:rsidR="00CA6417" w:rsidRPr="004F0D45">
        <w:rPr>
          <w:rFonts w:cstheme="minorHAnsi"/>
          <w:b/>
          <w:bCs/>
          <w:i/>
          <w:iCs/>
        </w:rPr>
        <w:t>:</w:t>
      </w:r>
      <w:r w:rsidR="00CA6417">
        <w:rPr>
          <w:rFonts w:cstheme="minorHAnsi"/>
          <w:b/>
          <w:bCs/>
          <w:i/>
          <w:iCs/>
        </w:rPr>
        <w:t xml:space="preserve"> </w:t>
      </w:r>
      <w:r w:rsidR="00CA6417" w:rsidRPr="00D76C51">
        <w:rPr>
          <w:b/>
          <w:bCs/>
          <w:i/>
          <w:iCs/>
          <w:color w:val="000000" w:themeColor="text1"/>
        </w:rPr>
        <w:t>Support VRB/PRB reindexing for non-contiguous resource allocation for Type-1 FDRA, excluding RBs that fall outside the downlink subbands</w:t>
      </w:r>
      <w:r>
        <w:rPr>
          <w:b/>
          <w:bCs/>
          <w:i/>
          <w:iCs/>
          <w:bdr w:val="none" w:sz="0" w:space="0" w:color="auto" w:frame="1"/>
        </w:rPr>
        <w:fldChar w:fldCharType="end"/>
      </w:r>
      <w:r w:rsidR="00675453">
        <w:rPr>
          <w:b/>
          <w:bCs/>
          <w:i/>
          <w:iCs/>
          <w:bdr w:val="none" w:sz="0" w:space="0" w:color="auto" w:frame="1"/>
        </w:rPr>
        <w:t>.</w:t>
      </w:r>
    </w:p>
    <w:p w14:paraId="12DC20E4" w14:textId="4C84CEB6"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_Ref159007898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10</w:t>
      </w:r>
      <w:r w:rsidR="00CA6417" w:rsidRPr="004F0D45">
        <w:rPr>
          <w:rFonts w:cstheme="minorHAnsi"/>
          <w:b/>
          <w:bCs/>
          <w:i/>
          <w:iCs/>
        </w:rPr>
        <w:t>:</w:t>
      </w:r>
      <w:r w:rsidR="00CA6417">
        <w:rPr>
          <w:rFonts w:cstheme="minorHAnsi"/>
          <w:b/>
          <w:bCs/>
          <w:i/>
          <w:iCs/>
        </w:rPr>
        <w:t xml:space="preserve"> Further study the performance gain and UE impact of allowing “</w:t>
      </w:r>
      <w:r w:rsidR="00CA6417" w:rsidRPr="00D82F0A">
        <w:rPr>
          <w:rFonts w:cstheme="minorHAnsi"/>
          <w:b/>
          <w:bCs/>
          <w:i/>
          <w:iCs/>
        </w:rPr>
        <w:t>wideband</w:t>
      </w:r>
      <w:r w:rsidR="00CA6417">
        <w:rPr>
          <w:rFonts w:cstheme="minorHAnsi"/>
          <w:b/>
          <w:bCs/>
          <w:i/>
          <w:iCs/>
        </w:rPr>
        <w:t xml:space="preserve">” support </w:t>
      </w:r>
      <w:r w:rsidR="00CA6417" w:rsidRPr="004F0D45">
        <w:rPr>
          <w:b/>
          <w:bCs/>
          <w:i/>
          <w:iCs/>
        </w:rPr>
        <w:t>non-contiguous frequency resources across</w:t>
      </w:r>
      <w:r w:rsidR="00CA6417">
        <w:rPr>
          <w:b/>
          <w:bCs/>
          <w:i/>
          <w:iCs/>
        </w:rPr>
        <w:t xml:space="preserve"> downlink</w:t>
      </w:r>
      <w:r w:rsidR="00CA6417" w:rsidRPr="004F0D45">
        <w:rPr>
          <w:b/>
          <w:bCs/>
          <w:i/>
          <w:iCs/>
        </w:rPr>
        <w:t xml:space="preserve"> subbands.</w:t>
      </w:r>
      <w:r>
        <w:rPr>
          <w:b/>
          <w:bCs/>
          <w:i/>
          <w:iCs/>
          <w:bdr w:val="none" w:sz="0" w:space="0" w:color="auto" w:frame="1"/>
        </w:rPr>
        <w:fldChar w:fldCharType="end"/>
      </w:r>
    </w:p>
    <w:p w14:paraId="0612DEEC" w14:textId="1456BBD1"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_Ref159007903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11</w:t>
      </w:r>
      <w:r w:rsidR="00CA6417" w:rsidRPr="004F0D45">
        <w:rPr>
          <w:rFonts w:cstheme="minorHAnsi"/>
          <w:b/>
          <w:bCs/>
          <w:i/>
          <w:iCs/>
        </w:rPr>
        <w:t>:</w:t>
      </w:r>
      <w:r w:rsidR="00CA6417">
        <w:rPr>
          <w:rFonts w:cstheme="minorHAnsi"/>
          <w:b/>
          <w:bCs/>
          <w:i/>
          <w:iCs/>
        </w:rPr>
        <w:t xml:space="preserve"> </w:t>
      </w:r>
      <w:r w:rsidR="00CA6417">
        <w:rPr>
          <w:b/>
          <w:bCs/>
          <w:i/>
          <w:iCs/>
        </w:rPr>
        <w:t xml:space="preserve">RAN1 to further study the impact of Option#1 and Option#2 on UE implementation and </w:t>
      </w:r>
      <w:r w:rsidR="00CA6417" w:rsidRPr="00AE0DCE">
        <w:rPr>
          <w:b/>
          <w:bCs/>
          <w:i/>
          <w:iCs/>
        </w:rPr>
        <w:t>measurement accuracy</w:t>
      </w:r>
      <w:r w:rsidR="00CA6417">
        <w:rPr>
          <w:b/>
          <w:bCs/>
          <w:i/>
          <w:iCs/>
        </w:rPr>
        <w:t>.</w:t>
      </w:r>
      <w:r w:rsidR="00CA6417">
        <w:rPr>
          <w:rFonts w:cstheme="minorHAnsi"/>
          <w:b/>
          <w:bCs/>
          <w:i/>
          <w:iCs/>
        </w:rPr>
        <w:t xml:space="preserve"> </w:t>
      </w:r>
      <w:r>
        <w:rPr>
          <w:b/>
          <w:bCs/>
          <w:i/>
          <w:iCs/>
          <w:bdr w:val="none" w:sz="0" w:space="0" w:color="auto" w:frame="1"/>
        </w:rPr>
        <w:fldChar w:fldCharType="end"/>
      </w:r>
    </w:p>
    <w:p w14:paraId="231BAF80" w14:textId="4DE76AB8"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_Ref131537687 \h </w:instrText>
      </w:r>
      <w:r>
        <w:rPr>
          <w:b/>
          <w:bCs/>
          <w:i/>
          <w:iCs/>
          <w:bdr w:val="none" w:sz="0" w:space="0" w:color="auto" w:frame="1"/>
        </w:rPr>
      </w:r>
      <w:r>
        <w:rPr>
          <w:b/>
          <w:bCs/>
          <w:i/>
          <w:iCs/>
          <w:bdr w:val="none" w:sz="0" w:space="0" w:color="auto" w:frame="1"/>
        </w:rPr>
        <w:fldChar w:fldCharType="separate"/>
      </w:r>
      <w:r w:rsidR="00CA6417" w:rsidRPr="0016580F">
        <w:rPr>
          <w:b/>
          <w:bCs/>
          <w:i/>
          <w:iCs/>
        </w:rPr>
        <w:t xml:space="preserve">Proposal </w:t>
      </w:r>
      <w:r w:rsidR="00CA6417">
        <w:rPr>
          <w:b/>
          <w:bCs/>
          <w:i/>
          <w:iCs/>
          <w:noProof/>
        </w:rPr>
        <w:t>12</w:t>
      </w:r>
      <w:r w:rsidR="00CA6417" w:rsidRPr="0016580F">
        <w:rPr>
          <w:rFonts w:cstheme="minorHAnsi"/>
          <w:b/>
          <w:bCs/>
          <w:i/>
          <w:iCs/>
        </w:rPr>
        <w:t xml:space="preserve">: </w:t>
      </w:r>
      <w:r w:rsidR="00CA6417" w:rsidRPr="0016580F">
        <w:rPr>
          <w:b/>
          <w:bCs/>
          <w:i/>
          <w:iCs/>
        </w:rPr>
        <w:t>Option 1-1 for CSI reporting, as specified in current NR specs, is considered the baseline for SBFD operation. Other options can be considered if they show considerable performance gains.</w:t>
      </w:r>
      <w:r>
        <w:rPr>
          <w:b/>
          <w:bCs/>
          <w:i/>
          <w:iCs/>
          <w:bdr w:val="none" w:sz="0" w:space="0" w:color="auto" w:frame="1"/>
        </w:rPr>
        <w:fldChar w:fldCharType="end"/>
      </w:r>
    </w:p>
    <w:p w14:paraId="204EC474" w14:textId="2C245FEE"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_Ref159007918 \h </w:instrText>
      </w:r>
      <w:r>
        <w:rPr>
          <w:b/>
          <w:bCs/>
          <w:i/>
          <w:iCs/>
          <w:bdr w:val="none" w:sz="0" w:space="0" w:color="auto" w:frame="1"/>
        </w:rPr>
      </w:r>
      <w:r>
        <w:rPr>
          <w:b/>
          <w:bCs/>
          <w:i/>
          <w:iCs/>
          <w:bdr w:val="none" w:sz="0" w:space="0" w:color="auto" w:frame="1"/>
        </w:rPr>
        <w:fldChar w:fldCharType="separate"/>
      </w:r>
      <w:r w:rsidR="00CA6417" w:rsidRPr="0016580F">
        <w:rPr>
          <w:b/>
          <w:bCs/>
          <w:i/>
          <w:iCs/>
        </w:rPr>
        <w:t xml:space="preserve">Proposal </w:t>
      </w:r>
      <w:r w:rsidR="00CA6417">
        <w:rPr>
          <w:b/>
          <w:bCs/>
          <w:i/>
          <w:iCs/>
          <w:noProof/>
        </w:rPr>
        <w:t>13</w:t>
      </w:r>
      <w:r w:rsidR="00CA6417" w:rsidRPr="0016580F">
        <w:rPr>
          <w:rFonts w:cstheme="minorHAnsi"/>
          <w:b/>
          <w:bCs/>
          <w:i/>
          <w:iCs/>
        </w:rPr>
        <w:t xml:space="preserve">: </w:t>
      </w:r>
      <w:r w:rsidR="00CA6417" w:rsidRPr="0016580F">
        <w:rPr>
          <w:b/>
          <w:bCs/>
          <w:i/>
          <w:iCs/>
        </w:rPr>
        <w:t>For semi-persistent CSI reporting PUCCH, allow MAC CE to activate at least 2 CSI reporting configurations, one for each slot type.</w:t>
      </w:r>
      <w:r>
        <w:rPr>
          <w:b/>
          <w:bCs/>
          <w:i/>
          <w:iCs/>
          <w:bdr w:val="none" w:sz="0" w:space="0" w:color="auto" w:frame="1"/>
        </w:rPr>
        <w:fldChar w:fldCharType="end"/>
      </w:r>
    </w:p>
    <w:p w14:paraId="1F93962B" w14:textId="0A1009DD"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_Ref127193375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14</w:t>
      </w:r>
      <w:r w:rsidR="00CA6417" w:rsidRPr="004F0D45">
        <w:rPr>
          <w:rFonts w:cstheme="minorHAnsi"/>
          <w:b/>
          <w:bCs/>
          <w:i/>
          <w:iCs/>
        </w:rPr>
        <w:t>:</w:t>
      </w:r>
      <w:r w:rsidR="00CA6417">
        <w:rPr>
          <w:rFonts w:cstheme="minorHAnsi"/>
          <w:b/>
          <w:bCs/>
          <w:i/>
          <w:iCs/>
        </w:rPr>
        <w:t xml:space="preserve"> </w:t>
      </w:r>
      <w:r w:rsidR="00CA6417" w:rsidRPr="004F0D45">
        <w:rPr>
          <w:b/>
          <w:bCs/>
          <w:i/>
          <w:iCs/>
        </w:rPr>
        <w:t xml:space="preserve">Support separate FDRA </w:t>
      </w:r>
      <w:r w:rsidR="00CA6417">
        <w:rPr>
          <w:b/>
          <w:bCs/>
          <w:i/>
          <w:iCs/>
        </w:rPr>
        <w:t xml:space="preserve">for SBFD and non-SBFD symbols </w:t>
      </w:r>
      <w:r w:rsidR="00CA6417" w:rsidRPr="004F0D45">
        <w:rPr>
          <w:b/>
          <w:bCs/>
          <w:i/>
          <w:iCs/>
        </w:rPr>
        <w:t>for multi-slot transmissions</w:t>
      </w:r>
      <w:r w:rsidR="00CA6417">
        <w:rPr>
          <w:b/>
          <w:bCs/>
          <w:i/>
          <w:iCs/>
        </w:rPr>
        <w:t>/reception</w:t>
      </w:r>
      <w:r w:rsidR="00CA6417" w:rsidRPr="004F0D45">
        <w:rPr>
          <w:b/>
          <w:bCs/>
          <w:i/>
          <w:iCs/>
        </w:rPr>
        <w:t>.</w:t>
      </w:r>
      <w:r>
        <w:rPr>
          <w:b/>
          <w:bCs/>
          <w:i/>
          <w:iCs/>
          <w:bdr w:val="none" w:sz="0" w:space="0" w:color="auto" w:frame="1"/>
        </w:rPr>
        <w:fldChar w:fldCharType="end"/>
      </w:r>
    </w:p>
    <w:p w14:paraId="405559BA" w14:textId="42F39260"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_Ref127193412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15</w:t>
      </w:r>
      <w:r w:rsidR="00CA6417" w:rsidRPr="004F0D45">
        <w:rPr>
          <w:rFonts w:cstheme="minorHAnsi"/>
          <w:b/>
          <w:bCs/>
          <w:i/>
          <w:iCs/>
        </w:rPr>
        <w:t>:</w:t>
      </w:r>
      <w:r w:rsidR="00CA6417">
        <w:rPr>
          <w:rFonts w:cstheme="minorHAnsi"/>
          <w:b/>
          <w:bCs/>
          <w:i/>
          <w:iCs/>
        </w:rPr>
        <w:t xml:space="preserve"> </w:t>
      </w:r>
      <w:r w:rsidR="00CA6417">
        <w:rPr>
          <w:b/>
          <w:bCs/>
          <w:i/>
          <w:iCs/>
          <w:lang w:eastAsia="en-GB"/>
        </w:rPr>
        <w:t>S</w:t>
      </w:r>
      <w:r w:rsidR="00CA6417" w:rsidRPr="004F0D45">
        <w:rPr>
          <w:b/>
          <w:bCs/>
          <w:i/>
          <w:iCs/>
          <w:lang w:eastAsia="en-GB"/>
        </w:rPr>
        <w:t xml:space="preserve">upport skipping </w:t>
      </w:r>
      <w:r w:rsidR="00CA6417">
        <w:rPr>
          <w:b/>
          <w:bCs/>
          <w:i/>
          <w:iCs/>
          <w:lang w:eastAsia="en-GB"/>
        </w:rPr>
        <w:t>for multi-slot transmissions when allocated UL/DL RBs overlap with RBs outside DL/UL subband</w:t>
      </w:r>
      <w:r w:rsidR="00CA6417">
        <w:rPr>
          <w:b/>
          <w:bCs/>
          <w:i/>
          <w:iCs/>
        </w:rPr>
        <w:t xml:space="preserve"> </w:t>
      </w:r>
      <w:r w:rsidR="00CA6417" w:rsidRPr="004F0D45">
        <w:rPr>
          <w:b/>
          <w:bCs/>
          <w:i/>
          <w:iCs/>
          <w:lang w:eastAsia="en-GB"/>
        </w:rPr>
        <w:t>in SBFD symbols</w:t>
      </w:r>
      <w:r>
        <w:rPr>
          <w:b/>
          <w:bCs/>
          <w:i/>
          <w:iCs/>
          <w:bdr w:val="none" w:sz="0" w:space="0" w:color="auto" w:frame="1"/>
        </w:rPr>
        <w:fldChar w:fldCharType="end"/>
      </w:r>
      <w:r w:rsidR="00D174F5">
        <w:rPr>
          <w:b/>
          <w:bCs/>
          <w:i/>
          <w:iCs/>
          <w:bdr w:val="none" w:sz="0" w:space="0" w:color="auto" w:frame="1"/>
        </w:rPr>
        <w:t>.</w:t>
      </w:r>
    </w:p>
    <w:p w14:paraId="6AF99823" w14:textId="0F215BEF"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_Ref159007941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16</w:t>
      </w:r>
      <w:r w:rsidR="00CA6417" w:rsidRPr="004F0D45">
        <w:rPr>
          <w:rFonts w:cstheme="minorHAnsi"/>
          <w:b/>
          <w:bCs/>
          <w:i/>
          <w:iCs/>
        </w:rPr>
        <w:t>:</w:t>
      </w:r>
      <w:r w:rsidR="00CA6417">
        <w:rPr>
          <w:rFonts w:cstheme="minorHAnsi"/>
          <w:b/>
          <w:bCs/>
          <w:i/>
          <w:iCs/>
        </w:rPr>
        <w:t xml:space="preserve"> </w:t>
      </w:r>
      <w:r w:rsidR="00CA6417" w:rsidRPr="004F0D45">
        <w:rPr>
          <w:b/>
          <w:bCs/>
          <w:i/>
          <w:iCs/>
        </w:rPr>
        <w:t xml:space="preserve">Support separate </w:t>
      </w:r>
      <w:r w:rsidR="00CA6417">
        <w:rPr>
          <w:b/>
          <w:bCs/>
          <w:i/>
          <w:iCs/>
        </w:rPr>
        <w:t>FDRA (including separate frequency hopping offsets)</w:t>
      </w:r>
      <w:r w:rsidR="00CA6417" w:rsidRPr="004F0D45">
        <w:rPr>
          <w:b/>
          <w:bCs/>
          <w:i/>
          <w:iCs/>
        </w:rPr>
        <w:t xml:space="preserve"> for</w:t>
      </w:r>
      <w:r w:rsidR="00CA6417">
        <w:rPr>
          <w:b/>
          <w:bCs/>
          <w:i/>
          <w:iCs/>
        </w:rPr>
        <w:t xml:space="preserve"> SBFD and non-SBFD symbols when</w:t>
      </w:r>
      <w:r w:rsidR="00CA6417" w:rsidRPr="004F0D45">
        <w:rPr>
          <w:b/>
          <w:bCs/>
          <w:i/>
          <w:iCs/>
        </w:rPr>
        <w:t xml:space="preserve"> frequency hopping </w:t>
      </w:r>
      <w:r w:rsidR="00CA6417">
        <w:rPr>
          <w:b/>
          <w:bCs/>
          <w:i/>
          <w:iCs/>
        </w:rPr>
        <w:t>enabled</w:t>
      </w:r>
      <w:r>
        <w:rPr>
          <w:b/>
          <w:bCs/>
          <w:i/>
          <w:iCs/>
          <w:bdr w:val="none" w:sz="0" w:space="0" w:color="auto" w:frame="1"/>
        </w:rPr>
        <w:fldChar w:fldCharType="end"/>
      </w:r>
      <w:r w:rsidR="00D174F5">
        <w:rPr>
          <w:b/>
          <w:bCs/>
          <w:i/>
          <w:iCs/>
          <w:bdr w:val="none" w:sz="0" w:space="0" w:color="auto" w:frame="1"/>
        </w:rPr>
        <w:t>.</w:t>
      </w:r>
    </w:p>
    <w:p w14:paraId="36222E26" w14:textId="5AD17007" w:rsidR="00C07FC1" w:rsidRDefault="00C07FC1" w:rsidP="005A07CF">
      <w:pPr>
        <w:spacing w:after="60"/>
        <w:jc w:val="both"/>
        <w:rPr>
          <w:b/>
          <w:bCs/>
          <w:i/>
          <w:iCs/>
          <w:bdr w:val="none" w:sz="0" w:space="0" w:color="auto" w:frame="1"/>
        </w:rPr>
      </w:pPr>
      <w:r>
        <w:rPr>
          <w:b/>
          <w:bCs/>
          <w:i/>
          <w:iCs/>
          <w:bdr w:val="none" w:sz="0" w:space="0" w:color="auto" w:frame="1"/>
        </w:rPr>
        <w:fldChar w:fldCharType="begin"/>
      </w:r>
      <w:r>
        <w:rPr>
          <w:b/>
          <w:bCs/>
          <w:i/>
          <w:iCs/>
          <w:bdr w:val="none" w:sz="0" w:space="0" w:color="auto" w:frame="1"/>
        </w:rPr>
        <w:instrText xml:space="preserve"> REF _Ref159007947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17</w:t>
      </w:r>
      <w:r w:rsidR="00CA6417" w:rsidRPr="004F0D45">
        <w:rPr>
          <w:rFonts w:cstheme="minorHAnsi"/>
          <w:b/>
          <w:bCs/>
          <w:i/>
          <w:iCs/>
        </w:rPr>
        <w:t>:</w:t>
      </w:r>
      <w:r w:rsidR="00CA6417">
        <w:rPr>
          <w:rFonts w:cstheme="minorHAnsi"/>
          <w:b/>
          <w:bCs/>
          <w:i/>
          <w:iCs/>
        </w:rPr>
        <w:t xml:space="preserve"> </w:t>
      </w:r>
      <w:r w:rsidR="00CA6417" w:rsidRPr="004F0D45">
        <w:rPr>
          <w:b/>
          <w:bCs/>
          <w:i/>
          <w:iCs/>
          <w:lang w:eastAsia="en-GB"/>
        </w:rPr>
        <w:t>Support frequency hopping</w:t>
      </w:r>
      <w:r w:rsidR="00CA6417">
        <w:rPr>
          <w:b/>
          <w:bCs/>
          <w:i/>
          <w:iCs/>
          <w:lang w:eastAsia="en-GB"/>
        </w:rPr>
        <w:t xml:space="preserve"> </w:t>
      </w:r>
      <w:r w:rsidR="00CA6417" w:rsidRPr="004F0D45">
        <w:rPr>
          <w:b/>
          <w:bCs/>
          <w:i/>
          <w:iCs/>
          <w:lang w:eastAsia="en-GB"/>
        </w:rPr>
        <w:t xml:space="preserve">only </w:t>
      </w:r>
      <w:r w:rsidR="00CA6417">
        <w:rPr>
          <w:b/>
          <w:bCs/>
          <w:i/>
          <w:iCs/>
          <w:lang w:eastAsia="en-GB"/>
        </w:rPr>
        <w:t>o</w:t>
      </w:r>
      <w:r w:rsidR="00CA6417" w:rsidRPr="004F0D45">
        <w:rPr>
          <w:b/>
          <w:bCs/>
          <w:i/>
          <w:iCs/>
          <w:lang w:eastAsia="en-GB"/>
        </w:rPr>
        <w:t>n non-SBFD s</w:t>
      </w:r>
      <w:r w:rsidR="00CA6417">
        <w:rPr>
          <w:b/>
          <w:bCs/>
          <w:i/>
          <w:iCs/>
          <w:lang w:eastAsia="en-GB"/>
        </w:rPr>
        <w:t>ymbols</w:t>
      </w:r>
      <w:r w:rsidR="00CA6417" w:rsidRPr="004F0D45">
        <w:rPr>
          <w:b/>
          <w:bCs/>
          <w:i/>
          <w:iCs/>
          <w:lang w:eastAsia="en-GB"/>
        </w:rPr>
        <w:t xml:space="preserve"> for inter-slot frequency hopping</w:t>
      </w:r>
      <w:r w:rsidR="00CA6417" w:rsidRPr="004F0D45">
        <w:rPr>
          <w:b/>
          <w:bCs/>
          <w:i/>
          <w:iCs/>
        </w:rPr>
        <w:t>.</w:t>
      </w:r>
      <w:r>
        <w:rPr>
          <w:b/>
          <w:bCs/>
          <w:i/>
          <w:iCs/>
          <w:bdr w:val="none" w:sz="0" w:space="0" w:color="auto" w:frame="1"/>
        </w:rPr>
        <w:fldChar w:fldCharType="end"/>
      </w:r>
    </w:p>
    <w:p w14:paraId="60BC5DBF" w14:textId="69D9B208" w:rsidR="00F87267" w:rsidRPr="004F0D45" w:rsidRDefault="00C07FC1" w:rsidP="005A07CF">
      <w:pPr>
        <w:spacing w:after="60"/>
        <w:jc w:val="both"/>
        <w:rPr>
          <w:b/>
          <w:bCs/>
          <w:i/>
          <w:iCs/>
        </w:rPr>
      </w:pPr>
      <w:r>
        <w:rPr>
          <w:b/>
          <w:bCs/>
          <w:i/>
          <w:iCs/>
          <w:bdr w:val="none" w:sz="0" w:space="0" w:color="auto" w:frame="1"/>
        </w:rPr>
        <w:fldChar w:fldCharType="begin"/>
      </w:r>
      <w:r>
        <w:rPr>
          <w:b/>
          <w:bCs/>
          <w:i/>
          <w:iCs/>
          <w:bdr w:val="none" w:sz="0" w:space="0" w:color="auto" w:frame="1"/>
        </w:rPr>
        <w:instrText xml:space="preserve"> REF _Ref159007953 \h </w:instrText>
      </w:r>
      <w:r>
        <w:rPr>
          <w:b/>
          <w:bCs/>
          <w:i/>
          <w:iCs/>
          <w:bdr w:val="none" w:sz="0" w:space="0" w:color="auto" w:frame="1"/>
        </w:rPr>
      </w:r>
      <w:r>
        <w:rPr>
          <w:b/>
          <w:bCs/>
          <w:i/>
          <w:iCs/>
          <w:bdr w:val="none" w:sz="0" w:space="0" w:color="auto" w:frame="1"/>
        </w:rPr>
        <w:fldChar w:fldCharType="separate"/>
      </w:r>
      <w:r w:rsidR="00CA6417" w:rsidRPr="004F0D45">
        <w:rPr>
          <w:b/>
          <w:bCs/>
          <w:i/>
          <w:iCs/>
        </w:rPr>
        <w:t xml:space="preserve">Proposal </w:t>
      </w:r>
      <w:r w:rsidR="00CA6417">
        <w:rPr>
          <w:b/>
          <w:bCs/>
          <w:i/>
          <w:iCs/>
          <w:noProof/>
        </w:rPr>
        <w:t>18</w:t>
      </w:r>
      <w:r w:rsidR="00CA6417" w:rsidRPr="004F0D45">
        <w:rPr>
          <w:rFonts w:cstheme="minorHAnsi"/>
          <w:b/>
          <w:bCs/>
          <w:i/>
          <w:iCs/>
        </w:rPr>
        <w:t>:</w:t>
      </w:r>
      <w:r w:rsidR="00CA6417">
        <w:rPr>
          <w:rFonts w:cstheme="minorHAnsi"/>
          <w:b/>
          <w:bCs/>
          <w:i/>
          <w:iCs/>
        </w:rPr>
        <w:t xml:space="preserve"> </w:t>
      </w:r>
      <w:r w:rsidR="00CA6417" w:rsidRPr="00323213">
        <w:rPr>
          <w:rFonts w:cstheme="minorHAnsi"/>
          <w:b/>
          <w:bCs/>
          <w:i/>
          <w:iCs/>
        </w:rPr>
        <w:t>Occurrence of SSBs in a SBFD slot override slot partitioning</w:t>
      </w:r>
      <w:r>
        <w:rPr>
          <w:b/>
          <w:bCs/>
          <w:i/>
          <w:iCs/>
          <w:bdr w:val="none" w:sz="0" w:space="0" w:color="auto" w:frame="1"/>
        </w:rPr>
        <w:fldChar w:fldCharType="end"/>
      </w:r>
      <w:r w:rsidR="00D174F5">
        <w:rPr>
          <w:b/>
          <w:bCs/>
          <w:i/>
          <w:iCs/>
          <w:bdr w:val="none" w:sz="0" w:space="0" w:color="auto" w:frame="1"/>
        </w:rPr>
        <w:t>.</w:t>
      </w:r>
    </w:p>
    <w:p w14:paraId="53CD9119" w14:textId="5206E1F5" w:rsidR="00885580" w:rsidRPr="004F0D45" w:rsidRDefault="00885580" w:rsidP="00107D41">
      <w:pPr>
        <w:pStyle w:val="Heading1"/>
        <w:numPr>
          <w:ilvl w:val="0"/>
          <w:numId w:val="0"/>
        </w:numPr>
        <w:spacing w:before="0" w:after="0"/>
        <w:jc w:val="both"/>
      </w:pPr>
      <w:r w:rsidRPr="004F0D45">
        <w:t>References</w:t>
      </w:r>
    </w:p>
    <w:p w14:paraId="4287A888" w14:textId="180CCBA0" w:rsidR="00753482" w:rsidRPr="009B4C96" w:rsidRDefault="00E63A1C" w:rsidP="009B4C96">
      <w:pPr>
        <w:pStyle w:val="ListParagraph"/>
        <w:numPr>
          <w:ilvl w:val="0"/>
          <w:numId w:val="4"/>
        </w:numPr>
        <w:contextualSpacing w:val="0"/>
        <w:rPr>
          <w:sz w:val="20"/>
          <w:szCs w:val="20"/>
          <w:lang w:val="en-US"/>
        </w:rPr>
      </w:pPr>
      <w:bookmarkStart w:id="43" w:name="_Ref47545028"/>
      <w:r w:rsidRPr="006C7909">
        <w:rPr>
          <w:sz w:val="20"/>
          <w:szCs w:val="20"/>
          <w:lang w:val="en-US"/>
        </w:rPr>
        <w:t>RP-234035, “New WID: Evolution of NR Duplex Operation: Sub-band Full Duplex (SBFD)”, RAN#102, December 202</w:t>
      </w:r>
      <w:bookmarkEnd w:id="43"/>
      <w:r w:rsidRPr="006C7909">
        <w:rPr>
          <w:sz w:val="20"/>
          <w:szCs w:val="20"/>
          <w:lang w:val="en-US"/>
        </w:rPr>
        <w:t>3.</w:t>
      </w:r>
    </w:p>
    <w:sectPr w:rsidR="00753482" w:rsidRPr="009B4C9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082A61" w14:textId="77777777" w:rsidR="0036626E" w:rsidRDefault="0036626E">
      <w:r>
        <w:separator/>
      </w:r>
    </w:p>
  </w:endnote>
  <w:endnote w:type="continuationSeparator" w:id="0">
    <w:p w14:paraId="4ABE5D5B" w14:textId="77777777" w:rsidR="0036626E" w:rsidRDefault="0036626E">
      <w:r>
        <w:continuationSeparator/>
      </w:r>
    </w:p>
  </w:endnote>
  <w:endnote w:type="continuationNotice" w:id="1">
    <w:p w14:paraId="7DFD69BE" w14:textId="77777777" w:rsidR="0036626E" w:rsidRDefault="003662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6FDED8" w14:textId="77777777" w:rsidR="0036626E" w:rsidRDefault="0036626E">
      <w:r>
        <w:separator/>
      </w:r>
    </w:p>
  </w:footnote>
  <w:footnote w:type="continuationSeparator" w:id="0">
    <w:p w14:paraId="366B6D86" w14:textId="77777777" w:rsidR="0036626E" w:rsidRDefault="0036626E">
      <w:r>
        <w:continuationSeparator/>
      </w:r>
    </w:p>
  </w:footnote>
  <w:footnote w:type="continuationNotice" w:id="1">
    <w:p w14:paraId="3487DEA6" w14:textId="77777777" w:rsidR="0036626E" w:rsidRDefault="003662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93EE8"/>
    <w:multiLevelType w:val="hybridMultilevel"/>
    <w:tmpl w:val="F3C6A81E"/>
    <w:lvl w:ilvl="0" w:tplc="389E66F4">
      <w:start w:val="1"/>
      <w:numFmt w:val="bullet"/>
      <w:lvlText w:val="–"/>
      <w:lvlJc w:val="left"/>
      <w:pPr>
        <w:tabs>
          <w:tab w:val="num" w:pos="720"/>
        </w:tabs>
        <w:ind w:left="720" w:hanging="360"/>
      </w:pPr>
      <w:rPr>
        <w:rFonts w:ascii="Calibri Light" w:hAnsi="Calibri Light" w:hint="default"/>
      </w:rPr>
    </w:lvl>
    <w:lvl w:ilvl="1" w:tplc="31AC22AE">
      <w:start w:val="1"/>
      <w:numFmt w:val="bullet"/>
      <w:lvlText w:val="–"/>
      <w:lvlJc w:val="left"/>
      <w:pPr>
        <w:tabs>
          <w:tab w:val="num" w:pos="1440"/>
        </w:tabs>
        <w:ind w:left="1440" w:hanging="360"/>
      </w:pPr>
      <w:rPr>
        <w:rFonts w:ascii="Calibri Light" w:hAnsi="Calibri Light" w:hint="default"/>
      </w:rPr>
    </w:lvl>
    <w:lvl w:ilvl="2" w:tplc="D4BCE316">
      <w:numFmt w:val="bullet"/>
      <w:lvlText w:val="-"/>
      <w:lvlJc w:val="left"/>
      <w:pPr>
        <w:tabs>
          <w:tab w:val="num" w:pos="2160"/>
        </w:tabs>
        <w:ind w:left="2160" w:hanging="360"/>
      </w:pPr>
      <w:rPr>
        <w:rFonts w:ascii="Arial" w:hAnsi="Arial" w:hint="default"/>
      </w:rPr>
    </w:lvl>
    <w:lvl w:ilvl="3" w:tplc="788E6146" w:tentative="1">
      <w:start w:val="1"/>
      <w:numFmt w:val="bullet"/>
      <w:lvlText w:val="–"/>
      <w:lvlJc w:val="left"/>
      <w:pPr>
        <w:tabs>
          <w:tab w:val="num" w:pos="2880"/>
        </w:tabs>
        <w:ind w:left="2880" w:hanging="360"/>
      </w:pPr>
      <w:rPr>
        <w:rFonts w:ascii="Calibri Light" w:hAnsi="Calibri Light" w:hint="default"/>
      </w:rPr>
    </w:lvl>
    <w:lvl w:ilvl="4" w:tplc="1AAA4156" w:tentative="1">
      <w:start w:val="1"/>
      <w:numFmt w:val="bullet"/>
      <w:lvlText w:val="–"/>
      <w:lvlJc w:val="left"/>
      <w:pPr>
        <w:tabs>
          <w:tab w:val="num" w:pos="3600"/>
        </w:tabs>
        <w:ind w:left="3600" w:hanging="360"/>
      </w:pPr>
      <w:rPr>
        <w:rFonts w:ascii="Calibri Light" w:hAnsi="Calibri Light" w:hint="default"/>
      </w:rPr>
    </w:lvl>
    <w:lvl w:ilvl="5" w:tplc="021072A2" w:tentative="1">
      <w:start w:val="1"/>
      <w:numFmt w:val="bullet"/>
      <w:lvlText w:val="–"/>
      <w:lvlJc w:val="left"/>
      <w:pPr>
        <w:tabs>
          <w:tab w:val="num" w:pos="4320"/>
        </w:tabs>
        <w:ind w:left="4320" w:hanging="360"/>
      </w:pPr>
      <w:rPr>
        <w:rFonts w:ascii="Calibri Light" w:hAnsi="Calibri Light" w:hint="default"/>
      </w:rPr>
    </w:lvl>
    <w:lvl w:ilvl="6" w:tplc="201E93C2" w:tentative="1">
      <w:start w:val="1"/>
      <w:numFmt w:val="bullet"/>
      <w:lvlText w:val="–"/>
      <w:lvlJc w:val="left"/>
      <w:pPr>
        <w:tabs>
          <w:tab w:val="num" w:pos="5040"/>
        </w:tabs>
        <w:ind w:left="5040" w:hanging="360"/>
      </w:pPr>
      <w:rPr>
        <w:rFonts w:ascii="Calibri Light" w:hAnsi="Calibri Light" w:hint="default"/>
      </w:rPr>
    </w:lvl>
    <w:lvl w:ilvl="7" w:tplc="FD4AC18C" w:tentative="1">
      <w:start w:val="1"/>
      <w:numFmt w:val="bullet"/>
      <w:lvlText w:val="–"/>
      <w:lvlJc w:val="left"/>
      <w:pPr>
        <w:tabs>
          <w:tab w:val="num" w:pos="5760"/>
        </w:tabs>
        <w:ind w:left="5760" w:hanging="360"/>
      </w:pPr>
      <w:rPr>
        <w:rFonts w:ascii="Calibri Light" w:hAnsi="Calibri Light" w:hint="default"/>
      </w:rPr>
    </w:lvl>
    <w:lvl w:ilvl="8" w:tplc="9A8209D4" w:tentative="1">
      <w:start w:val="1"/>
      <w:numFmt w:val="bullet"/>
      <w:lvlText w:val="–"/>
      <w:lvlJc w:val="left"/>
      <w:pPr>
        <w:tabs>
          <w:tab w:val="num" w:pos="6480"/>
        </w:tabs>
        <w:ind w:left="6480" w:hanging="360"/>
      </w:pPr>
      <w:rPr>
        <w:rFonts w:ascii="Calibri Light" w:hAnsi="Calibri Light" w:hint="default"/>
      </w:rPr>
    </w:lvl>
  </w:abstractNum>
  <w:abstractNum w:abstractNumId="1" w15:restartNumberingAfterBreak="0">
    <w:nsid w:val="03E75387"/>
    <w:multiLevelType w:val="hybridMultilevel"/>
    <w:tmpl w:val="6944F3EC"/>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hybridMultilevel"/>
    <w:tmpl w:val="D2ACC952"/>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5" w15:restartNumberingAfterBreak="0">
    <w:nsid w:val="0DEE11C7"/>
    <w:multiLevelType w:val="hybridMultilevel"/>
    <w:tmpl w:val="55E472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1551622"/>
    <w:multiLevelType w:val="hybridMultilevel"/>
    <w:tmpl w:val="7ED4FF1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C2534A"/>
    <w:multiLevelType w:val="hybridMultilevel"/>
    <w:tmpl w:val="1FA42A98"/>
    <w:lvl w:ilvl="0" w:tplc="08090001">
      <w:start w:val="1"/>
      <w:numFmt w:val="bullet"/>
      <w:lvlText w:val=""/>
      <w:lvlJc w:val="left"/>
      <w:pPr>
        <w:ind w:left="1100" w:hanging="360"/>
      </w:pPr>
      <w:rPr>
        <w:rFonts w:ascii="Symbol" w:hAnsi="Symbol" w:hint="default"/>
      </w:rPr>
    </w:lvl>
    <w:lvl w:ilvl="1" w:tplc="08090003" w:tentative="1">
      <w:start w:val="1"/>
      <w:numFmt w:val="bullet"/>
      <w:lvlText w:val="o"/>
      <w:lvlJc w:val="left"/>
      <w:pPr>
        <w:ind w:left="1820" w:hanging="360"/>
      </w:pPr>
      <w:rPr>
        <w:rFonts w:ascii="Courier New" w:hAnsi="Courier New" w:cs="Courier New" w:hint="default"/>
      </w:rPr>
    </w:lvl>
    <w:lvl w:ilvl="2" w:tplc="08090005" w:tentative="1">
      <w:start w:val="1"/>
      <w:numFmt w:val="bullet"/>
      <w:lvlText w:val=""/>
      <w:lvlJc w:val="left"/>
      <w:pPr>
        <w:ind w:left="2540" w:hanging="360"/>
      </w:pPr>
      <w:rPr>
        <w:rFonts w:ascii="Wingdings" w:hAnsi="Wingdings" w:hint="default"/>
      </w:rPr>
    </w:lvl>
    <w:lvl w:ilvl="3" w:tplc="08090001" w:tentative="1">
      <w:start w:val="1"/>
      <w:numFmt w:val="bullet"/>
      <w:lvlText w:val=""/>
      <w:lvlJc w:val="left"/>
      <w:pPr>
        <w:ind w:left="3260" w:hanging="360"/>
      </w:pPr>
      <w:rPr>
        <w:rFonts w:ascii="Symbol" w:hAnsi="Symbol" w:hint="default"/>
      </w:rPr>
    </w:lvl>
    <w:lvl w:ilvl="4" w:tplc="08090003" w:tentative="1">
      <w:start w:val="1"/>
      <w:numFmt w:val="bullet"/>
      <w:lvlText w:val="o"/>
      <w:lvlJc w:val="left"/>
      <w:pPr>
        <w:ind w:left="3980" w:hanging="360"/>
      </w:pPr>
      <w:rPr>
        <w:rFonts w:ascii="Courier New" w:hAnsi="Courier New" w:cs="Courier New" w:hint="default"/>
      </w:rPr>
    </w:lvl>
    <w:lvl w:ilvl="5" w:tplc="08090005" w:tentative="1">
      <w:start w:val="1"/>
      <w:numFmt w:val="bullet"/>
      <w:lvlText w:val=""/>
      <w:lvlJc w:val="left"/>
      <w:pPr>
        <w:ind w:left="4700" w:hanging="360"/>
      </w:pPr>
      <w:rPr>
        <w:rFonts w:ascii="Wingdings" w:hAnsi="Wingdings" w:hint="default"/>
      </w:rPr>
    </w:lvl>
    <w:lvl w:ilvl="6" w:tplc="08090001" w:tentative="1">
      <w:start w:val="1"/>
      <w:numFmt w:val="bullet"/>
      <w:lvlText w:val=""/>
      <w:lvlJc w:val="left"/>
      <w:pPr>
        <w:ind w:left="5420" w:hanging="360"/>
      </w:pPr>
      <w:rPr>
        <w:rFonts w:ascii="Symbol" w:hAnsi="Symbol" w:hint="default"/>
      </w:rPr>
    </w:lvl>
    <w:lvl w:ilvl="7" w:tplc="08090003" w:tentative="1">
      <w:start w:val="1"/>
      <w:numFmt w:val="bullet"/>
      <w:lvlText w:val="o"/>
      <w:lvlJc w:val="left"/>
      <w:pPr>
        <w:ind w:left="6140" w:hanging="360"/>
      </w:pPr>
      <w:rPr>
        <w:rFonts w:ascii="Courier New" w:hAnsi="Courier New" w:cs="Courier New" w:hint="default"/>
      </w:rPr>
    </w:lvl>
    <w:lvl w:ilvl="8" w:tplc="08090005" w:tentative="1">
      <w:start w:val="1"/>
      <w:numFmt w:val="bullet"/>
      <w:lvlText w:val=""/>
      <w:lvlJc w:val="left"/>
      <w:pPr>
        <w:ind w:left="6860" w:hanging="360"/>
      </w:pPr>
      <w:rPr>
        <w:rFonts w:ascii="Wingdings" w:hAnsi="Wingdings" w:hint="default"/>
      </w:rPr>
    </w:lvl>
  </w:abstractNum>
  <w:abstractNum w:abstractNumId="10" w15:restartNumberingAfterBreak="0">
    <w:nsid w:val="1DF322EC"/>
    <w:multiLevelType w:val="multilevel"/>
    <w:tmpl w:val="1DF322EC"/>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numFmt w:val="bullet"/>
      <w:lvlText w:val="•"/>
      <w:lvlJc w:val="left"/>
      <w:pPr>
        <w:tabs>
          <w:tab w:val="left" w:pos="1800"/>
        </w:tabs>
        <w:ind w:left="1800" w:hanging="360"/>
      </w:pPr>
      <w:rPr>
        <w:rFonts w:ascii="Arial" w:hAnsi="Arial" w:hint="default"/>
      </w:rPr>
    </w:lvl>
    <w:lvl w:ilvl="3">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1" w15:restartNumberingAfterBreak="0">
    <w:nsid w:val="1E3B795F"/>
    <w:multiLevelType w:val="hybridMultilevel"/>
    <w:tmpl w:val="F1280C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0AC1B14"/>
    <w:multiLevelType w:val="hybridMultilevel"/>
    <w:tmpl w:val="CED457C4"/>
    <w:lvl w:ilvl="0" w:tplc="678E45F2">
      <w:start w:val="1"/>
      <w:numFmt w:val="decimal"/>
      <w:lvlText w:val="[%1]"/>
      <w:lvlJc w:val="left"/>
      <w:pPr>
        <w:ind w:left="360" w:hanging="360"/>
      </w:pPr>
      <w:rPr>
        <w:rFonts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21834A11"/>
    <w:multiLevelType w:val="hybridMultilevel"/>
    <w:tmpl w:val="4D4826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2914DB9"/>
    <w:multiLevelType w:val="hybridMultilevel"/>
    <w:tmpl w:val="EEAA9350"/>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15" w15:restartNumberingAfterBreak="0">
    <w:nsid w:val="249C2BCF"/>
    <w:multiLevelType w:val="hybridMultilevel"/>
    <w:tmpl w:val="1CDA43BE"/>
    <w:lvl w:ilvl="0" w:tplc="52BC905C">
      <w:start w:val="1"/>
      <w:numFmt w:val="bullet"/>
      <w:lvlText w:val="o"/>
      <w:lvlJc w:val="left"/>
      <w:pPr>
        <w:ind w:left="1212" w:hanging="360"/>
      </w:pPr>
      <w:rPr>
        <w:rFonts w:ascii="Courier New" w:hAnsi="Courier New" w:cs="Courier New" w:hint="default"/>
        <w:sz w:val="20"/>
        <w:szCs w:val="20"/>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16" w15:restartNumberingAfterBreak="0">
    <w:nsid w:val="27E816AA"/>
    <w:multiLevelType w:val="hybridMultilevel"/>
    <w:tmpl w:val="777EC0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A82728B"/>
    <w:multiLevelType w:val="hybridMultilevel"/>
    <w:tmpl w:val="09148A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E1F1868"/>
    <w:multiLevelType w:val="multilevel"/>
    <w:tmpl w:val="B4824FB6"/>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2E715C57"/>
    <w:multiLevelType w:val="hybridMultilevel"/>
    <w:tmpl w:val="86B2BF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EB80B98"/>
    <w:multiLevelType w:val="multilevel"/>
    <w:tmpl w:val="2EB80B98"/>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158"/>
        </w:tabs>
        <w:ind w:left="1838"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2" w15:restartNumberingAfterBreak="0">
    <w:nsid w:val="2F0E5B00"/>
    <w:multiLevelType w:val="hybridMultilevel"/>
    <w:tmpl w:val="902A1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03F28FA"/>
    <w:multiLevelType w:val="multilevel"/>
    <w:tmpl w:val="A1CEEE8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8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4" w15:restartNumberingAfterBreak="0">
    <w:nsid w:val="33370EC8"/>
    <w:multiLevelType w:val="hybridMultilevel"/>
    <w:tmpl w:val="4CAE17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7" w15:restartNumberingAfterBreak="0">
    <w:nsid w:val="411C18C2"/>
    <w:multiLevelType w:val="hybridMultilevel"/>
    <w:tmpl w:val="9456360E"/>
    <w:lvl w:ilvl="0" w:tplc="4256281A">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3A961AD"/>
    <w:multiLevelType w:val="hybridMultilevel"/>
    <w:tmpl w:val="AB8A6352"/>
    <w:lvl w:ilvl="0" w:tplc="8960ADD0">
      <w:start w:val="1"/>
      <w:numFmt w:val="lowerLetter"/>
      <w:lvlText w:val="(%1)"/>
      <w:lvlJc w:val="left"/>
      <w:pPr>
        <w:ind w:left="2860" w:hanging="360"/>
      </w:pPr>
      <w:rPr>
        <w:rFonts w:hint="default"/>
      </w:rPr>
    </w:lvl>
    <w:lvl w:ilvl="1" w:tplc="08090019" w:tentative="1">
      <w:start w:val="1"/>
      <w:numFmt w:val="lowerLetter"/>
      <w:lvlText w:val="%2."/>
      <w:lvlJc w:val="left"/>
      <w:pPr>
        <w:ind w:left="3580" w:hanging="360"/>
      </w:pPr>
    </w:lvl>
    <w:lvl w:ilvl="2" w:tplc="0809001B" w:tentative="1">
      <w:start w:val="1"/>
      <w:numFmt w:val="lowerRoman"/>
      <w:lvlText w:val="%3."/>
      <w:lvlJc w:val="right"/>
      <w:pPr>
        <w:ind w:left="4300" w:hanging="180"/>
      </w:pPr>
    </w:lvl>
    <w:lvl w:ilvl="3" w:tplc="0809000F" w:tentative="1">
      <w:start w:val="1"/>
      <w:numFmt w:val="decimal"/>
      <w:lvlText w:val="%4."/>
      <w:lvlJc w:val="left"/>
      <w:pPr>
        <w:ind w:left="5020" w:hanging="360"/>
      </w:pPr>
    </w:lvl>
    <w:lvl w:ilvl="4" w:tplc="08090019" w:tentative="1">
      <w:start w:val="1"/>
      <w:numFmt w:val="lowerLetter"/>
      <w:lvlText w:val="%5."/>
      <w:lvlJc w:val="left"/>
      <w:pPr>
        <w:ind w:left="5740" w:hanging="360"/>
      </w:pPr>
    </w:lvl>
    <w:lvl w:ilvl="5" w:tplc="0809001B" w:tentative="1">
      <w:start w:val="1"/>
      <w:numFmt w:val="lowerRoman"/>
      <w:lvlText w:val="%6."/>
      <w:lvlJc w:val="right"/>
      <w:pPr>
        <w:ind w:left="6460" w:hanging="180"/>
      </w:pPr>
    </w:lvl>
    <w:lvl w:ilvl="6" w:tplc="0809000F" w:tentative="1">
      <w:start w:val="1"/>
      <w:numFmt w:val="decimal"/>
      <w:lvlText w:val="%7."/>
      <w:lvlJc w:val="left"/>
      <w:pPr>
        <w:ind w:left="7180" w:hanging="360"/>
      </w:pPr>
    </w:lvl>
    <w:lvl w:ilvl="7" w:tplc="08090019" w:tentative="1">
      <w:start w:val="1"/>
      <w:numFmt w:val="lowerLetter"/>
      <w:lvlText w:val="%8."/>
      <w:lvlJc w:val="left"/>
      <w:pPr>
        <w:ind w:left="7900" w:hanging="360"/>
      </w:pPr>
    </w:lvl>
    <w:lvl w:ilvl="8" w:tplc="0809001B" w:tentative="1">
      <w:start w:val="1"/>
      <w:numFmt w:val="lowerRoman"/>
      <w:lvlText w:val="%9."/>
      <w:lvlJc w:val="right"/>
      <w:pPr>
        <w:ind w:left="8620" w:hanging="180"/>
      </w:pPr>
    </w:lvl>
  </w:abstractNum>
  <w:abstractNum w:abstractNumId="29" w15:restartNumberingAfterBreak="0">
    <w:nsid w:val="47485525"/>
    <w:multiLevelType w:val="hybridMultilevel"/>
    <w:tmpl w:val="809074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1" w15:restartNumberingAfterBreak="0">
    <w:nsid w:val="4BF07CCB"/>
    <w:multiLevelType w:val="hybridMultilevel"/>
    <w:tmpl w:val="858A8A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1FE43D6"/>
    <w:multiLevelType w:val="hybridMultilevel"/>
    <w:tmpl w:val="6F1E31F6"/>
    <w:lvl w:ilvl="0" w:tplc="08090001">
      <w:start w:val="1"/>
      <w:numFmt w:val="bullet"/>
      <w:lvlText w:val=""/>
      <w:lvlJc w:val="left"/>
      <w:pPr>
        <w:ind w:left="1204" w:hanging="360"/>
      </w:pPr>
      <w:rPr>
        <w:rFonts w:ascii="Symbol" w:hAnsi="Symbol"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33" w15:restartNumberingAfterBreak="0">
    <w:nsid w:val="5312214C"/>
    <w:multiLevelType w:val="hybridMultilevel"/>
    <w:tmpl w:val="615CA3A0"/>
    <w:lvl w:ilvl="0" w:tplc="08090001">
      <w:start w:val="1"/>
      <w:numFmt w:val="bullet"/>
      <w:lvlText w:val=""/>
      <w:lvlJc w:val="left"/>
      <w:pPr>
        <w:ind w:left="644" w:hanging="360"/>
      </w:pPr>
      <w:rPr>
        <w:rFonts w:ascii="Symbol" w:hAnsi="Symbol"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4" w15:restartNumberingAfterBreak="0">
    <w:nsid w:val="5AED6E5B"/>
    <w:multiLevelType w:val="hybridMultilevel"/>
    <w:tmpl w:val="D37CB3C0"/>
    <w:lvl w:ilvl="0" w:tplc="37123F9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36" w15:restartNumberingAfterBreak="0">
    <w:nsid w:val="5E193252"/>
    <w:multiLevelType w:val="hybridMultilevel"/>
    <w:tmpl w:val="5BD200AE"/>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7" w15:restartNumberingAfterBreak="0">
    <w:nsid w:val="5FCC54CF"/>
    <w:multiLevelType w:val="hybridMultilevel"/>
    <w:tmpl w:val="378EA8FA"/>
    <w:lvl w:ilvl="0" w:tplc="55CAA866">
      <w:start w:val="21042"/>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B97449D"/>
    <w:multiLevelType w:val="hybridMultilevel"/>
    <w:tmpl w:val="ED0228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C5C6211"/>
    <w:multiLevelType w:val="hybridMultilevel"/>
    <w:tmpl w:val="D9E247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6F3C0F78"/>
    <w:multiLevelType w:val="hybridMultilevel"/>
    <w:tmpl w:val="27DC6FF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2" w15:restartNumberingAfterBreak="0">
    <w:nsid w:val="71A811BC"/>
    <w:multiLevelType w:val="hybridMultilevel"/>
    <w:tmpl w:val="22CAFD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75F911E5"/>
    <w:multiLevelType w:val="hybridMultilevel"/>
    <w:tmpl w:val="68D67A6A"/>
    <w:lvl w:ilvl="0" w:tplc="DB12E37C">
      <w:start w:val="1"/>
      <w:numFmt w:val="bullet"/>
      <w:lvlText w:val="–"/>
      <w:lvlJc w:val="left"/>
      <w:pPr>
        <w:tabs>
          <w:tab w:val="num" w:pos="720"/>
        </w:tabs>
        <w:ind w:left="720" w:hanging="360"/>
      </w:pPr>
      <w:rPr>
        <w:rFonts w:ascii="Calibri Light" w:hAnsi="Calibri Light" w:hint="default"/>
      </w:rPr>
    </w:lvl>
    <w:lvl w:ilvl="1" w:tplc="A0D4789A">
      <w:start w:val="1"/>
      <w:numFmt w:val="bullet"/>
      <w:lvlText w:val="–"/>
      <w:lvlJc w:val="left"/>
      <w:pPr>
        <w:tabs>
          <w:tab w:val="num" w:pos="1440"/>
        </w:tabs>
        <w:ind w:left="1440" w:hanging="360"/>
      </w:pPr>
      <w:rPr>
        <w:rFonts w:ascii="Calibri Light" w:hAnsi="Calibri Light" w:hint="default"/>
      </w:rPr>
    </w:lvl>
    <w:lvl w:ilvl="2" w:tplc="15ACAC46" w:tentative="1">
      <w:start w:val="1"/>
      <w:numFmt w:val="bullet"/>
      <w:lvlText w:val="–"/>
      <w:lvlJc w:val="left"/>
      <w:pPr>
        <w:tabs>
          <w:tab w:val="num" w:pos="2160"/>
        </w:tabs>
        <w:ind w:left="2160" w:hanging="360"/>
      </w:pPr>
      <w:rPr>
        <w:rFonts w:ascii="Calibri Light" w:hAnsi="Calibri Light" w:hint="default"/>
      </w:rPr>
    </w:lvl>
    <w:lvl w:ilvl="3" w:tplc="A4EEB5D2" w:tentative="1">
      <w:start w:val="1"/>
      <w:numFmt w:val="bullet"/>
      <w:lvlText w:val="–"/>
      <w:lvlJc w:val="left"/>
      <w:pPr>
        <w:tabs>
          <w:tab w:val="num" w:pos="2880"/>
        </w:tabs>
        <w:ind w:left="2880" w:hanging="360"/>
      </w:pPr>
      <w:rPr>
        <w:rFonts w:ascii="Calibri Light" w:hAnsi="Calibri Light" w:hint="default"/>
      </w:rPr>
    </w:lvl>
    <w:lvl w:ilvl="4" w:tplc="BB32FCEA" w:tentative="1">
      <w:start w:val="1"/>
      <w:numFmt w:val="bullet"/>
      <w:lvlText w:val="–"/>
      <w:lvlJc w:val="left"/>
      <w:pPr>
        <w:tabs>
          <w:tab w:val="num" w:pos="3600"/>
        </w:tabs>
        <w:ind w:left="3600" w:hanging="360"/>
      </w:pPr>
      <w:rPr>
        <w:rFonts w:ascii="Calibri Light" w:hAnsi="Calibri Light" w:hint="default"/>
      </w:rPr>
    </w:lvl>
    <w:lvl w:ilvl="5" w:tplc="3DA2D95E" w:tentative="1">
      <w:start w:val="1"/>
      <w:numFmt w:val="bullet"/>
      <w:lvlText w:val="–"/>
      <w:lvlJc w:val="left"/>
      <w:pPr>
        <w:tabs>
          <w:tab w:val="num" w:pos="4320"/>
        </w:tabs>
        <w:ind w:left="4320" w:hanging="360"/>
      </w:pPr>
      <w:rPr>
        <w:rFonts w:ascii="Calibri Light" w:hAnsi="Calibri Light" w:hint="default"/>
      </w:rPr>
    </w:lvl>
    <w:lvl w:ilvl="6" w:tplc="8B8052A4" w:tentative="1">
      <w:start w:val="1"/>
      <w:numFmt w:val="bullet"/>
      <w:lvlText w:val="–"/>
      <w:lvlJc w:val="left"/>
      <w:pPr>
        <w:tabs>
          <w:tab w:val="num" w:pos="5040"/>
        </w:tabs>
        <w:ind w:left="5040" w:hanging="360"/>
      </w:pPr>
      <w:rPr>
        <w:rFonts w:ascii="Calibri Light" w:hAnsi="Calibri Light" w:hint="default"/>
      </w:rPr>
    </w:lvl>
    <w:lvl w:ilvl="7" w:tplc="F00EEF72" w:tentative="1">
      <w:start w:val="1"/>
      <w:numFmt w:val="bullet"/>
      <w:lvlText w:val="–"/>
      <w:lvlJc w:val="left"/>
      <w:pPr>
        <w:tabs>
          <w:tab w:val="num" w:pos="5760"/>
        </w:tabs>
        <w:ind w:left="5760" w:hanging="360"/>
      </w:pPr>
      <w:rPr>
        <w:rFonts w:ascii="Calibri Light" w:hAnsi="Calibri Light" w:hint="default"/>
      </w:rPr>
    </w:lvl>
    <w:lvl w:ilvl="8" w:tplc="6E985210" w:tentative="1">
      <w:start w:val="1"/>
      <w:numFmt w:val="bullet"/>
      <w:lvlText w:val="–"/>
      <w:lvlJc w:val="left"/>
      <w:pPr>
        <w:tabs>
          <w:tab w:val="num" w:pos="6480"/>
        </w:tabs>
        <w:ind w:left="6480" w:hanging="360"/>
      </w:pPr>
      <w:rPr>
        <w:rFonts w:ascii="Calibri Light" w:hAnsi="Calibri Light" w:hint="default"/>
      </w:rPr>
    </w:lvl>
  </w:abstractNum>
  <w:num w:numId="1" w16cid:durableId="2126656038">
    <w:abstractNumId w:val="19"/>
  </w:num>
  <w:num w:numId="2" w16cid:durableId="1150443308">
    <w:abstractNumId w:val="25"/>
  </w:num>
  <w:num w:numId="3" w16cid:durableId="1232157210">
    <w:abstractNumId w:val="2"/>
  </w:num>
  <w:num w:numId="4" w16cid:durableId="801003285">
    <w:abstractNumId w:val="12"/>
  </w:num>
  <w:num w:numId="5" w16cid:durableId="2005280277">
    <w:abstractNumId w:val="8"/>
  </w:num>
  <w:num w:numId="6" w16cid:durableId="619916216">
    <w:abstractNumId w:val="17"/>
  </w:num>
  <w:num w:numId="7" w16cid:durableId="1734618308">
    <w:abstractNumId w:val="35"/>
  </w:num>
  <w:num w:numId="8" w16cid:durableId="1918053880">
    <w:abstractNumId w:val="31"/>
  </w:num>
  <w:num w:numId="9" w16cid:durableId="711884646">
    <w:abstractNumId w:val="20"/>
  </w:num>
  <w:num w:numId="10" w16cid:durableId="1969701670">
    <w:abstractNumId w:val="40"/>
  </w:num>
  <w:num w:numId="11" w16cid:durableId="557130977">
    <w:abstractNumId w:val="1"/>
  </w:num>
  <w:num w:numId="12" w16cid:durableId="1343360408">
    <w:abstractNumId w:val="41"/>
  </w:num>
  <w:num w:numId="13" w16cid:durableId="224999487">
    <w:abstractNumId w:val="39"/>
  </w:num>
  <w:num w:numId="14" w16cid:durableId="1635720867">
    <w:abstractNumId w:val="4"/>
  </w:num>
  <w:num w:numId="15" w16cid:durableId="1356464363">
    <w:abstractNumId w:val="21"/>
  </w:num>
  <w:num w:numId="16" w16cid:durableId="685517955">
    <w:abstractNumId w:val="24"/>
  </w:num>
  <w:num w:numId="17" w16cid:durableId="712852692">
    <w:abstractNumId w:val="29"/>
  </w:num>
  <w:num w:numId="18" w16cid:durableId="650135135">
    <w:abstractNumId w:val="38"/>
  </w:num>
  <w:num w:numId="19" w16cid:durableId="1848979159">
    <w:abstractNumId w:val="26"/>
  </w:num>
  <w:num w:numId="20" w16cid:durableId="978539046">
    <w:abstractNumId w:val="43"/>
  </w:num>
  <w:num w:numId="21" w16cid:durableId="1359965932">
    <w:abstractNumId w:val="26"/>
  </w:num>
  <w:num w:numId="22" w16cid:durableId="631180698">
    <w:abstractNumId w:val="15"/>
  </w:num>
  <w:num w:numId="23" w16cid:durableId="773785084">
    <w:abstractNumId w:val="9"/>
  </w:num>
  <w:num w:numId="24" w16cid:durableId="132982113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410736059">
    <w:abstractNumId w:val="28"/>
  </w:num>
  <w:num w:numId="26" w16cid:durableId="2146001294">
    <w:abstractNumId w:val="32"/>
  </w:num>
  <w:num w:numId="27" w16cid:durableId="1297368735">
    <w:abstractNumId w:val="22"/>
  </w:num>
  <w:num w:numId="28" w16cid:durableId="1061253667">
    <w:abstractNumId w:val="16"/>
  </w:num>
  <w:num w:numId="29" w16cid:durableId="893202761">
    <w:abstractNumId w:val="23"/>
  </w:num>
  <w:num w:numId="30" w16cid:durableId="1527668877">
    <w:abstractNumId w:val="42"/>
  </w:num>
  <w:num w:numId="31" w16cid:durableId="1183475389">
    <w:abstractNumId w:val="27"/>
  </w:num>
  <w:num w:numId="32" w16cid:durableId="8285169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510755530">
    <w:abstractNumId w:val="13"/>
  </w:num>
  <w:num w:numId="34" w16cid:durableId="488012510">
    <w:abstractNumId w:val="37"/>
  </w:num>
  <w:num w:numId="35" w16cid:durableId="1232233229">
    <w:abstractNumId w:val="14"/>
  </w:num>
  <w:num w:numId="36" w16cid:durableId="964241235">
    <w:abstractNumId w:val="10"/>
  </w:num>
  <w:num w:numId="37" w16cid:durableId="137184361">
    <w:abstractNumId w:val="7"/>
  </w:num>
  <w:num w:numId="38" w16cid:durableId="278344850">
    <w:abstractNumId w:val="34"/>
  </w:num>
  <w:num w:numId="39" w16cid:durableId="717820700">
    <w:abstractNumId w:val="36"/>
  </w:num>
  <w:num w:numId="40" w16cid:durableId="427389367">
    <w:abstractNumId w:val="44"/>
  </w:num>
  <w:num w:numId="41" w16cid:durableId="161284835">
    <w:abstractNumId w:val="0"/>
  </w:num>
  <w:num w:numId="42" w16cid:durableId="998001381">
    <w:abstractNumId w:val="3"/>
  </w:num>
  <w:num w:numId="43" w16cid:durableId="1987780578">
    <w:abstractNumId w:val="6"/>
  </w:num>
  <w:num w:numId="44" w16cid:durableId="226573902">
    <w:abstractNumId w:val="33"/>
  </w:num>
  <w:num w:numId="45" w16cid:durableId="1805079749">
    <w:abstractNumId w:val="18"/>
  </w:num>
  <w:num w:numId="46" w16cid:durableId="629750065">
    <w:abstractNumId w:val="11"/>
  </w:num>
  <w:num w:numId="47" w16cid:durableId="1489245091">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hu-H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U0MDc0NDAyNDezsLBQ0lEKTi0uzszPAykwrAUAhwGmYywAAAA="/>
  </w:docVars>
  <w:rsids>
    <w:rsidRoot w:val="002B2813"/>
    <w:rsid w:val="00000011"/>
    <w:rsid w:val="000001C4"/>
    <w:rsid w:val="000001CE"/>
    <w:rsid w:val="0000159F"/>
    <w:rsid w:val="000017C6"/>
    <w:rsid w:val="00001F0C"/>
    <w:rsid w:val="00003A5B"/>
    <w:rsid w:val="00003E20"/>
    <w:rsid w:val="00004683"/>
    <w:rsid w:val="00004AC8"/>
    <w:rsid w:val="00004CCE"/>
    <w:rsid w:val="00004D8C"/>
    <w:rsid w:val="00004E45"/>
    <w:rsid w:val="000053BA"/>
    <w:rsid w:val="000055C0"/>
    <w:rsid w:val="00005EF5"/>
    <w:rsid w:val="00006055"/>
    <w:rsid w:val="00006AD4"/>
    <w:rsid w:val="00006CB9"/>
    <w:rsid w:val="000073B3"/>
    <w:rsid w:val="000074C4"/>
    <w:rsid w:val="000079A6"/>
    <w:rsid w:val="00010630"/>
    <w:rsid w:val="00010709"/>
    <w:rsid w:val="0001079F"/>
    <w:rsid w:val="00010E2C"/>
    <w:rsid w:val="00011BB2"/>
    <w:rsid w:val="00011C62"/>
    <w:rsid w:val="00012505"/>
    <w:rsid w:val="00012685"/>
    <w:rsid w:val="00012804"/>
    <w:rsid w:val="00012C4F"/>
    <w:rsid w:val="000131D1"/>
    <w:rsid w:val="00013455"/>
    <w:rsid w:val="000134E3"/>
    <w:rsid w:val="00013632"/>
    <w:rsid w:val="00013F5E"/>
    <w:rsid w:val="0001403F"/>
    <w:rsid w:val="0001487F"/>
    <w:rsid w:val="00014A0E"/>
    <w:rsid w:val="00014BFF"/>
    <w:rsid w:val="00014D24"/>
    <w:rsid w:val="00014F35"/>
    <w:rsid w:val="00015F98"/>
    <w:rsid w:val="0001628C"/>
    <w:rsid w:val="000166AC"/>
    <w:rsid w:val="0001738B"/>
    <w:rsid w:val="00017B7F"/>
    <w:rsid w:val="00017EDA"/>
    <w:rsid w:val="00020C06"/>
    <w:rsid w:val="00021298"/>
    <w:rsid w:val="000212A5"/>
    <w:rsid w:val="00021AAE"/>
    <w:rsid w:val="000228C3"/>
    <w:rsid w:val="00022B8C"/>
    <w:rsid w:val="00023290"/>
    <w:rsid w:val="00023742"/>
    <w:rsid w:val="00023F51"/>
    <w:rsid w:val="00024AEF"/>
    <w:rsid w:val="00025A38"/>
    <w:rsid w:val="00025EB5"/>
    <w:rsid w:val="00026496"/>
    <w:rsid w:val="0002681F"/>
    <w:rsid w:val="00026C65"/>
    <w:rsid w:val="0002748E"/>
    <w:rsid w:val="00027755"/>
    <w:rsid w:val="00027864"/>
    <w:rsid w:val="0002789E"/>
    <w:rsid w:val="00027A33"/>
    <w:rsid w:val="00027A4B"/>
    <w:rsid w:val="00030048"/>
    <w:rsid w:val="0003072D"/>
    <w:rsid w:val="00030A57"/>
    <w:rsid w:val="00031437"/>
    <w:rsid w:val="000314CD"/>
    <w:rsid w:val="00031A7C"/>
    <w:rsid w:val="00032068"/>
    <w:rsid w:val="0003332B"/>
    <w:rsid w:val="00033544"/>
    <w:rsid w:val="000339CE"/>
    <w:rsid w:val="00033D4D"/>
    <w:rsid w:val="000341DD"/>
    <w:rsid w:val="000344DC"/>
    <w:rsid w:val="0003479E"/>
    <w:rsid w:val="00034C8A"/>
    <w:rsid w:val="00034CD7"/>
    <w:rsid w:val="00035691"/>
    <w:rsid w:val="00035A58"/>
    <w:rsid w:val="00035B2A"/>
    <w:rsid w:val="00035BA6"/>
    <w:rsid w:val="00035C44"/>
    <w:rsid w:val="00036C26"/>
    <w:rsid w:val="00036F83"/>
    <w:rsid w:val="0003767C"/>
    <w:rsid w:val="00040418"/>
    <w:rsid w:val="000409D8"/>
    <w:rsid w:val="00040F4F"/>
    <w:rsid w:val="0004132D"/>
    <w:rsid w:val="00041C9D"/>
    <w:rsid w:val="00042296"/>
    <w:rsid w:val="000426F5"/>
    <w:rsid w:val="00042ABD"/>
    <w:rsid w:val="000439EA"/>
    <w:rsid w:val="00043F7C"/>
    <w:rsid w:val="00044CFA"/>
    <w:rsid w:val="00044EE5"/>
    <w:rsid w:val="000453DC"/>
    <w:rsid w:val="00045569"/>
    <w:rsid w:val="000459C7"/>
    <w:rsid w:val="00045BCE"/>
    <w:rsid w:val="00045E69"/>
    <w:rsid w:val="00046630"/>
    <w:rsid w:val="00046C80"/>
    <w:rsid w:val="0004743C"/>
    <w:rsid w:val="00047553"/>
    <w:rsid w:val="00047BC4"/>
    <w:rsid w:val="00047E8F"/>
    <w:rsid w:val="00050112"/>
    <w:rsid w:val="00050276"/>
    <w:rsid w:val="00050466"/>
    <w:rsid w:val="000505CC"/>
    <w:rsid w:val="00050891"/>
    <w:rsid w:val="0005113F"/>
    <w:rsid w:val="000511F9"/>
    <w:rsid w:val="00051212"/>
    <w:rsid w:val="00051B32"/>
    <w:rsid w:val="00051C92"/>
    <w:rsid w:val="0005230E"/>
    <w:rsid w:val="00052590"/>
    <w:rsid w:val="00052687"/>
    <w:rsid w:val="00052850"/>
    <w:rsid w:val="000528A2"/>
    <w:rsid w:val="000529B8"/>
    <w:rsid w:val="00052BBA"/>
    <w:rsid w:val="00052E0E"/>
    <w:rsid w:val="0005342E"/>
    <w:rsid w:val="00053588"/>
    <w:rsid w:val="0005495A"/>
    <w:rsid w:val="00054B05"/>
    <w:rsid w:val="00054D9D"/>
    <w:rsid w:val="00055676"/>
    <w:rsid w:val="00055B5E"/>
    <w:rsid w:val="000562E9"/>
    <w:rsid w:val="00056351"/>
    <w:rsid w:val="00056544"/>
    <w:rsid w:val="00056919"/>
    <w:rsid w:val="00056BDE"/>
    <w:rsid w:val="00057380"/>
    <w:rsid w:val="00057635"/>
    <w:rsid w:val="000600F3"/>
    <w:rsid w:val="00060D8E"/>
    <w:rsid w:val="00061061"/>
    <w:rsid w:val="000615C1"/>
    <w:rsid w:val="000619BB"/>
    <w:rsid w:val="00061BBF"/>
    <w:rsid w:val="00062159"/>
    <w:rsid w:val="000621A1"/>
    <w:rsid w:val="00063C20"/>
    <w:rsid w:val="00063D9E"/>
    <w:rsid w:val="00064453"/>
    <w:rsid w:val="0006488E"/>
    <w:rsid w:val="00064AD3"/>
    <w:rsid w:val="00065088"/>
    <w:rsid w:val="000652D3"/>
    <w:rsid w:val="000654A0"/>
    <w:rsid w:val="0006579F"/>
    <w:rsid w:val="00065E3D"/>
    <w:rsid w:val="00065E94"/>
    <w:rsid w:val="00066719"/>
    <w:rsid w:val="000667D3"/>
    <w:rsid w:val="000669A3"/>
    <w:rsid w:val="00066F78"/>
    <w:rsid w:val="000701AD"/>
    <w:rsid w:val="000706AB"/>
    <w:rsid w:val="000707CA"/>
    <w:rsid w:val="00070D21"/>
    <w:rsid w:val="00070D4B"/>
    <w:rsid w:val="000715A2"/>
    <w:rsid w:val="000717FB"/>
    <w:rsid w:val="000719BF"/>
    <w:rsid w:val="00071ECD"/>
    <w:rsid w:val="0007208A"/>
    <w:rsid w:val="0007213C"/>
    <w:rsid w:val="00072BBA"/>
    <w:rsid w:val="00072FF5"/>
    <w:rsid w:val="000730DC"/>
    <w:rsid w:val="00073886"/>
    <w:rsid w:val="0007440D"/>
    <w:rsid w:val="000750F6"/>
    <w:rsid w:val="0007531D"/>
    <w:rsid w:val="00075965"/>
    <w:rsid w:val="00075C6C"/>
    <w:rsid w:val="00075FDA"/>
    <w:rsid w:val="000761A3"/>
    <w:rsid w:val="00076386"/>
    <w:rsid w:val="000768F3"/>
    <w:rsid w:val="00076B9B"/>
    <w:rsid w:val="00076C4D"/>
    <w:rsid w:val="00076D82"/>
    <w:rsid w:val="00077C0A"/>
    <w:rsid w:val="00081382"/>
    <w:rsid w:val="00081716"/>
    <w:rsid w:val="0008193C"/>
    <w:rsid w:val="00081EC2"/>
    <w:rsid w:val="00082154"/>
    <w:rsid w:val="00083042"/>
    <w:rsid w:val="00083800"/>
    <w:rsid w:val="000846AE"/>
    <w:rsid w:val="00084754"/>
    <w:rsid w:val="00084A65"/>
    <w:rsid w:val="00084D93"/>
    <w:rsid w:val="000850D5"/>
    <w:rsid w:val="0008559A"/>
    <w:rsid w:val="00085A3A"/>
    <w:rsid w:val="00086797"/>
    <w:rsid w:val="00086B70"/>
    <w:rsid w:val="00086B7F"/>
    <w:rsid w:val="00087168"/>
    <w:rsid w:val="00087FA3"/>
    <w:rsid w:val="000902C2"/>
    <w:rsid w:val="0009063D"/>
    <w:rsid w:val="000910F5"/>
    <w:rsid w:val="000915AE"/>
    <w:rsid w:val="00091A92"/>
    <w:rsid w:val="00091C51"/>
    <w:rsid w:val="00091C7C"/>
    <w:rsid w:val="0009227D"/>
    <w:rsid w:val="00093C49"/>
    <w:rsid w:val="00093E57"/>
    <w:rsid w:val="00095A80"/>
    <w:rsid w:val="00095ABD"/>
    <w:rsid w:val="00095EE3"/>
    <w:rsid w:val="00095F8E"/>
    <w:rsid w:val="00097377"/>
    <w:rsid w:val="000973E1"/>
    <w:rsid w:val="000A0A0D"/>
    <w:rsid w:val="000A0D26"/>
    <w:rsid w:val="000A1402"/>
    <w:rsid w:val="000A18F8"/>
    <w:rsid w:val="000A20BA"/>
    <w:rsid w:val="000A218D"/>
    <w:rsid w:val="000A262C"/>
    <w:rsid w:val="000A2786"/>
    <w:rsid w:val="000A3200"/>
    <w:rsid w:val="000A36CF"/>
    <w:rsid w:val="000A3C8D"/>
    <w:rsid w:val="000A3DFE"/>
    <w:rsid w:val="000A40EC"/>
    <w:rsid w:val="000A41EB"/>
    <w:rsid w:val="000A54EE"/>
    <w:rsid w:val="000A62BE"/>
    <w:rsid w:val="000A6A23"/>
    <w:rsid w:val="000A6C21"/>
    <w:rsid w:val="000A7BC5"/>
    <w:rsid w:val="000B0311"/>
    <w:rsid w:val="000B0A6A"/>
    <w:rsid w:val="000B0AB5"/>
    <w:rsid w:val="000B0C45"/>
    <w:rsid w:val="000B0DA9"/>
    <w:rsid w:val="000B13E1"/>
    <w:rsid w:val="000B16DB"/>
    <w:rsid w:val="000B1766"/>
    <w:rsid w:val="000B1C5E"/>
    <w:rsid w:val="000B1E00"/>
    <w:rsid w:val="000B2244"/>
    <w:rsid w:val="000B2282"/>
    <w:rsid w:val="000B27E9"/>
    <w:rsid w:val="000B2A11"/>
    <w:rsid w:val="000B2A5B"/>
    <w:rsid w:val="000B317F"/>
    <w:rsid w:val="000B3B91"/>
    <w:rsid w:val="000B3D9B"/>
    <w:rsid w:val="000B4207"/>
    <w:rsid w:val="000B425D"/>
    <w:rsid w:val="000B4B1B"/>
    <w:rsid w:val="000B4C67"/>
    <w:rsid w:val="000B50C3"/>
    <w:rsid w:val="000B5483"/>
    <w:rsid w:val="000B555A"/>
    <w:rsid w:val="000B5661"/>
    <w:rsid w:val="000B5AC9"/>
    <w:rsid w:val="000B5DB9"/>
    <w:rsid w:val="000B5F0A"/>
    <w:rsid w:val="000B625F"/>
    <w:rsid w:val="000B6630"/>
    <w:rsid w:val="000B6D65"/>
    <w:rsid w:val="000B6EA4"/>
    <w:rsid w:val="000B6FB9"/>
    <w:rsid w:val="000B743C"/>
    <w:rsid w:val="000B7B49"/>
    <w:rsid w:val="000C00EC"/>
    <w:rsid w:val="000C01A2"/>
    <w:rsid w:val="000C0B1D"/>
    <w:rsid w:val="000C0CB5"/>
    <w:rsid w:val="000C1D59"/>
    <w:rsid w:val="000C21BF"/>
    <w:rsid w:val="000C2266"/>
    <w:rsid w:val="000C2B09"/>
    <w:rsid w:val="000C30CF"/>
    <w:rsid w:val="000C3512"/>
    <w:rsid w:val="000C4655"/>
    <w:rsid w:val="000C501D"/>
    <w:rsid w:val="000C5744"/>
    <w:rsid w:val="000C5B5B"/>
    <w:rsid w:val="000C5CBA"/>
    <w:rsid w:val="000C5F43"/>
    <w:rsid w:val="000C65D6"/>
    <w:rsid w:val="000C6614"/>
    <w:rsid w:val="000C6665"/>
    <w:rsid w:val="000C69AB"/>
    <w:rsid w:val="000C74BA"/>
    <w:rsid w:val="000C7531"/>
    <w:rsid w:val="000C7BA7"/>
    <w:rsid w:val="000C7C3F"/>
    <w:rsid w:val="000C7D35"/>
    <w:rsid w:val="000D00D9"/>
    <w:rsid w:val="000D02AB"/>
    <w:rsid w:val="000D0BD6"/>
    <w:rsid w:val="000D0BDE"/>
    <w:rsid w:val="000D0C61"/>
    <w:rsid w:val="000D12DF"/>
    <w:rsid w:val="000D1440"/>
    <w:rsid w:val="000D1901"/>
    <w:rsid w:val="000D1DCC"/>
    <w:rsid w:val="000D2547"/>
    <w:rsid w:val="000D27AD"/>
    <w:rsid w:val="000D29D1"/>
    <w:rsid w:val="000D2B0A"/>
    <w:rsid w:val="000D2EED"/>
    <w:rsid w:val="000D30C1"/>
    <w:rsid w:val="000D3286"/>
    <w:rsid w:val="000D344D"/>
    <w:rsid w:val="000D387D"/>
    <w:rsid w:val="000D3DAA"/>
    <w:rsid w:val="000D40E7"/>
    <w:rsid w:val="000D584F"/>
    <w:rsid w:val="000D5EAF"/>
    <w:rsid w:val="000D6228"/>
    <w:rsid w:val="000D693D"/>
    <w:rsid w:val="000D6B82"/>
    <w:rsid w:val="000D76BC"/>
    <w:rsid w:val="000D7750"/>
    <w:rsid w:val="000E071E"/>
    <w:rsid w:val="000E0DEE"/>
    <w:rsid w:val="000E1325"/>
    <w:rsid w:val="000E181D"/>
    <w:rsid w:val="000E27AA"/>
    <w:rsid w:val="000E337A"/>
    <w:rsid w:val="000E34FD"/>
    <w:rsid w:val="000E4350"/>
    <w:rsid w:val="000E4376"/>
    <w:rsid w:val="000E4408"/>
    <w:rsid w:val="000E4601"/>
    <w:rsid w:val="000E4681"/>
    <w:rsid w:val="000E475D"/>
    <w:rsid w:val="000E53AB"/>
    <w:rsid w:val="000E5713"/>
    <w:rsid w:val="000E5716"/>
    <w:rsid w:val="000E6337"/>
    <w:rsid w:val="000E6970"/>
    <w:rsid w:val="000E70E6"/>
    <w:rsid w:val="000E73C4"/>
    <w:rsid w:val="000E7673"/>
    <w:rsid w:val="000E7A79"/>
    <w:rsid w:val="000F15B2"/>
    <w:rsid w:val="000F19DE"/>
    <w:rsid w:val="000F21F9"/>
    <w:rsid w:val="000F286C"/>
    <w:rsid w:val="000F2E1F"/>
    <w:rsid w:val="000F301D"/>
    <w:rsid w:val="000F36BD"/>
    <w:rsid w:val="000F37B0"/>
    <w:rsid w:val="000F3909"/>
    <w:rsid w:val="000F3BF8"/>
    <w:rsid w:val="000F3DDD"/>
    <w:rsid w:val="000F3FE4"/>
    <w:rsid w:val="000F425A"/>
    <w:rsid w:val="000F447B"/>
    <w:rsid w:val="000F4595"/>
    <w:rsid w:val="000F4CB2"/>
    <w:rsid w:val="000F4E44"/>
    <w:rsid w:val="000F4E90"/>
    <w:rsid w:val="000F4F58"/>
    <w:rsid w:val="000F568D"/>
    <w:rsid w:val="000F56B3"/>
    <w:rsid w:val="000F5C38"/>
    <w:rsid w:val="000F5D0C"/>
    <w:rsid w:val="000F60D7"/>
    <w:rsid w:val="000F6158"/>
    <w:rsid w:val="000F68D0"/>
    <w:rsid w:val="000F6B15"/>
    <w:rsid w:val="000F6D98"/>
    <w:rsid w:val="000F6DBE"/>
    <w:rsid w:val="000F713D"/>
    <w:rsid w:val="000F7500"/>
    <w:rsid w:val="000F750D"/>
    <w:rsid w:val="000F785F"/>
    <w:rsid w:val="000F7974"/>
    <w:rsid w:val="00100042"/>
    <w:rsid w:val="001006B5"/>
    <w:rsid w:val="00100FBF"/>
    <w:rsid w:val="001014C1"/>
    <w:rsid w:val="0010170B"/>
    <w:rsid w:val="00101C4F"/>
    <w:rsid w:val="00102C9F"/>
    <w:rsid w:val="00102E94"/>
    <w:rsid w:val="00103AAC"/>
    <w:rsid w:val="00103FC9"/>
    <w:rsid w:val="00104021"/>
    <w:rsid w:val="00104786"/>
    <w:rsid w:val="00104A62"/>
    <w:rsid w:val="00104EB4"/>
    <w:rsid w:val="001061E0"/>
    <w:rsid w:val="001068D2"/>
    <w:rsid w:val="001069F2"/>
    <w:rsid w:val="00106DA1"/>
    <w:rsid w:val="0010757E"/>
    <w:rsid w:val="0010758F"/>
    <w:rsid w:val="00107D41"/>
    <w:rsid w:val="00107EF7"/>
    <w:rsid w:val="001103BD"/>
    <w:rsid w:val="0011059E"/>
    <w:rsid w:val="0011074B"/>
    <w:rsid w:val="00111208"/>
    <w:rsid w:val="001115E4"/>
    <w:rsid w:val="00111808"/>
    <w:rsid w:val="001118AE"/>
    <w:rsid w:val="00112220"/>
    <w:rsid w:val="001127CE"/>
    <w:rsid w:val="00112807"/>
    <w:rsid w:val="0011331A"/>
    <w:rsid w:val="0011339F"/>
    <w:rsid w:val="001139B5"/>
    <w:rsid w:val="00113B8F"/>
    <w:rsid w:val="00113EC8"/>
    <w:rsid w:val="00114035"/>
    <w:rsid w:val="00114227"/>
    <w:rsid w:val="00114E96"/>
    <w:rsid w:val="001152C7"/>
    <w:rsid w:val="00115C88"/>
    <w:rsid w:val="0011644A"/>
    <w:rsid w:val="00116B42"/>
    <w:rsid w:val="00117332"/>
    <w:rsid w:val="0011784B"/>
    <w:rsid w:val="001204DD"/>
    <w:rsid w:val="00122752"/>
    <w:rsid w:val="00122839"/>
    <w:rsid w:val="00122A48"/>
    <w:rsid w:val="001237AC"/>
    <w:rsid w:val="00123A65"/>
    <w:rsid w:val="00123AD3"/>
    <w:rsid w:val="00124E12"/>
    <w:rsid w:val="00124E34"/>
    <w:rsid w:val="00124E75"/>
    <w:rsid w:val="0012518A"/>
    <w:rsid w:val="00126599"/>
    <w:rsid w:val="0012673D"/>
    <w:rsid w:val="001269B8"/>
    <w:rsid w:val="00126BE1"/>
    <w:rsid w:val="00127099"/>
    <w:rsid w:val="001273FA"/>
    <w:rsid w:val="0012793A"/>
    <w:rsid w:val="00127956"/>
    <w:rsid w:val="00130313"/>
    <w:rsid w:val="00130594"/>
    <w:rsid w:val="00131D69"/>
    <w:rsid w:val="00132830"/>
    <w:rsid w:val="00132B71"/>
    <w:rsid w:val="00132B7F"/>
    <w:rsid w:val="001333F7"/>
    <w:rsid w:val="001337A5"/>
    <w:rsid w:val="00134185"/>
    <w:rsid w:val="0013427A"/>
    <w:rsid w:val="00134578"/>
    <w:rsid w:val="001348FE"/>
    <w:rsid w:val="00134B36"/>
    <w:rsid w:val="00134D55"/>
    <w:rsid w:val="00135E77"/>
    <w:rsid w:val="00135F21"/>
    <w:rsid w:val="001360F3"/>
    <w:rsid w:val="001362C2"/>
    <w:rsid w:val="0013678C"/>
    <w:rsid w:val="00136955"/>
    <w:rsid w:val="00136E19"/>
    <w:rsid w:val="001371B2"/>
    <w:rsid w:val="00137AB9"/>
    <w:rsid w:val="00137D78"/>
    <w:rsid w:val="0014060C"/>
    <w:rsid w:val="00140645"/>
    <w:rsid w:val="001409A0"/>
    <w:rsid w:val="001416C7"/>
    <w:rsid w:val="00141E40"/>
    <w:rsid w:val="00141F08"/>
    <w:rsid w:val="00141FF2"/>
    <w:rsid w:val="00142082"/>
    <w:rsid w:val="001424A1"/>
    <w:rsid w:val="0014287A"/>
    <w:rsid w:val="00142DE2"/>
    <w:rsid w:val="00144C87"/>
    <w:rsid w:val="00146283"/>
    <w:rsid w:val="0014659B"/>
    <w:rsid w:val="001467B1"/>
    <w:rsid w:val="00146A0F"/>
    <w:rsid w:val="0014726E"/>
    <w:rsid w:val="001477AF"/>
    <w:rsid w:val="001477EA"/>
    <w:rsid w:val="00150175"/>
    <w:rsid w:val="001502C8"/>
    <w:rsid w:val="001508C5"/>
    <w:rsid w:val="00150A2F"/>
    <w:rsid w:val="00150A78"/>
    <w:rsid w:val="00150A91"/>
    <w:rsid w:val="00150C08"/>
    <w:rsid w:val="00151011"/>
    <w:rsid w:val="0015103E"/>
    <w:rsid w:val="00151224"/>
    <w:rsid w:val="0015130F"/>
    <w:rsid w:val="001528CB"/>
    <w:rsid w:val="001532B3"/>
    <w:rsid w:val="001532BA"/>
    <w:rsid w:val="001538BC"/>
    <w:rsid w:val="00153FED"/>
    <w:rsid w:val="001540D0"/>
    <w:rsid w:val="0015458E"/>
    <w:rsid w:val="0015475A"/>
    <w:rsid w:val="0015521D"/>
    <w:rsid w:val="00155BFD"/>
    <w:rsid w:val="00156ABA"/>
    <w:rsid w:val="00156B13"/>
    <w:rsid w:val="00156EB4"/>
    <w:rsid w:val="00157390"/>
    <w:rsid w:val="0016082D"/>
    <w:rsid w:val="001608BA"/>
    <w:rsid w:val="00160998"/>
    <w:rsid w:val="00160A29"/>
    <w:rsid w:val="00160CD6"/>
    <w:rsid w:val="00160F5F"/>
    <w:rsid w:val="001610C5"/>
    <w:rsid w:val="00162308"/>
    <w:rsid w:val="00162AFD"/>
    <w:rsid w:val="00162B35"/>
    <w:rsid w:val="00162CFF"/>
    <w:rsid w:val="0016316A"/>
    <w:rsid w:val="00163310"/>
    <w:rsid w:val="0016343F"/>
    <w:rsid w:val="00163539"/>
    <w:rsid w:val="0016381F"/>
    <w:rsid w:val="00163C04"/>
    <w:rsid w:val="00163D1D"/>
    <w:rsid w:val="00163FAD"/>
    <w:rsid w:val="00164171"/>
    <w:rsid w:val="001646E9"/>
    <w:rsid w:val="00164E58"/>
    <w:rsid w:val="00165033"/>
    <w:rsid w:val="001652FB"/>
    <w:rsid w:val="00165505"/>
    <w:rsid w:val="0016580F"/>
    <w:rsid w:val="00165926"/>
    <w:rsid w:val="00165D5C"/>
    <w:rsid w:val="0016642B"/>
    <w:rsid w:val="001665EB"/>
    <w:rsid w:val="001670EA"/>
    <w:rsid w:val="001674A0"/>
    <w:rsid w:val="00170A50"/>
    <w:rsid w:val="00171CFB"/>
    <w:rsid w:val="00172BE6"/>
    <w:rsid w:val="00172CAA"/>
    <w:rsid w:val="00172FB4"/>
    <w:rsid w:val="00173904"/>
    <w:rsid w:val="00173D9A"/>
    <w:rsid w:val="00173F41"/>
    <w:rsid w:val="00174BC3"/>
    <w:rsid w:val="00174D3F"/>
    <w:rsid w:val="00174FFD"/>
    <w:rsid w:val="001759CA"/>
    <w:rsid w:val="00175CE6"/>
    <w:rsid w:val="001764DB"/>
    <w:rsid w:val="00176C0D"/>
    <w:rsid w:val="00176C94"/>
    <w:rsid w:val="00176FE0"/>
    <w:rsid w:val="0017726A"/>
    <w:rsid w:val="00177DD3"/>
    <w:rsid w:val="00180278"/>
    <w:rsid w:val="001807F2"/>
    <w:rsid w:val="00180ACB"/>
    <w:rsid w:val="001812FB"/>
    <w:rsid w:val="001818A7"/>
    <w:rsid w:val="001819D7"/>
    <w:rsid w:val="00181A2D"/>
    <w:rsid w:val="00181CEA"/>
    <w:rsid w:val="00182725"/>
    <w:rsid w:val="001829C8"/>
    <w:rsid w:val="001829D2"/>
    <w:rsid w:val="00184EF4"/>
    <w:rsid w:val="0018560B"/>
    <w:rsid w:val="001858F5"/>
    <w:rsid w:val="00185AFA"/>
    <w:rsid w:val="00186572"/>
    <w:rsid w:val="00186904"/>
    <w:rsid w:val="00186B0A"/>
    <w:rsid w:val="00187859"/>
    <w:rsid w:val="00187BB9"/>
    <w:rsid w:val="001905BD"/>
    <w:rsid w:val="00190BF0"/>
    <w:rsid w:val="00191636"/>
    <w:rsid w:val="00191B6D"/>
    <w:rsid w:val="00191E79"/>
    <w:rsid w:val="00191E87"/>
    <w:rsid w:val="00192D8E"/>
    <w:rsid w:val="00192FE6"/>
    <w:rsid w:val="0019360B"/>
    <w:rsid w:val="00193986"/>
    <w:rsid w:val="00193B08"/>
    <w:rsid w:val="00194518"/>
    <w:rsid w:val="00194570"/>
    <w:rsid w:val="00196A22"/>
    <w:rsid w:val="00196BCE"/>
    <w:rsid w:val="00196BF4"/>
    <w:rsid w:val="00197020"/>
    <w:rsid w:val="001972DA"/>
    <w:rsid w:val="001976AA"/>
    <w:rsid w:val="00197A07"/>
    <w:rsid w:val="00197A20"/>
    <w:rsid w:val="00197D9B"/>
    <w:rsid w:val="001A0177"/>
    <w:rsid w:val="001A02F6"/>
    <w:rsid w:val="001A05B9"/>
    <w:rsid w:val="001A05C9"/>
    <w:rsid w:val="001A0B27"/>
    <w:rsid w:val="001A1061"/>
    <w:rsid w:val="001A15C6"/>
    <w:rsid w:val="001A17FF"/>
    <w:rsid w:val="001A1C03"/>
    <w:rsid w:val="001A44EF"/>
    <w:rsid w:val="001A46BD"/>
    <w:rsid w:val="001A53B4"/>
    <w:rsid w:val="001A5510"/>
    <w:rsid w:val="001A5C7B"/>
    <w:rsid w:val="001A5CB6"/>
    <w:rsid w:val="001A5E19"/>
    <w:rsid w:val="001A608B"/>
    <w:rsid w:val="001A6157"/>
    <w:rsid w:val="001A61E2"/>
    <w:rsid w:val="001A63D8"/>
    <w:rsid w:val="001A7035"/>
    <w:rsid w:val="001A7BBA"/>
    <w:rsid w:val="001B017D"/>
    <w:rsid w:val="001B01FA"/>
    <w:rsid w:val="001B0832"/>
    <w:rsid w:val="001B1330"/>
    <w:rsid w:val="001B1731"/>
    <w:rsid w:val="001B18A7"/>
    <w:rsid w:val="001B233D"/>
    <w:rsid w:val="001B2762"/>
    <w:rsid w:val="001B36FC"/>
    <w:rsid w:val="001B38EE"/>
    <w:rsid w:val="001B3AE7"/>
    <w:rsid w:val="001B4078"/>
    <w:rsid w:val="001B41ED"/>
    <w:rsid w:val="001B4446"/>
    <w:rsid w:val="001B4449"/>
    <w:rsid w:val="001B4457"/>
    <w:rsid w:val="001B4607"/>
    <w:rsid w:val="001B46ED"/>
    <w:rsid w:val="001B49E1"/>
    <w:rsid w:val="001B4C3C"/>
    <w:rsid w:val="001B7E0C"/>
    <w:rsid w:val="001C0674"/>
    <w:rsid w:val="001C1405"/>
    <w:rsid w:val="001C1628"/>
    <w:rsid w:val="001C1B93"/>
    <w:rsid w:val="001C226F"/>
    <w:rsid w:val="001C254C"/>
    <w:rsid w:val="001C29A1"/>
    <w:rsid w:val="001C3C7E"/>
    <w:rsid w:val="001C4567"/>
    <w:rsid w:val="001C474D"/>
    <w:rsid w:val="001C5296"/>
    <w:rsid w:val="001C52B5"/>
    <w:rsid w:val="001C63CC"/>
    <w:rsid w:val="001C66AC"/>
    <w:rsid w:val="001C6754"/>
    <w:rsid w:val="001C6B60"/>
    <w:rsid w:val="001C6CAF"/>
    <w:rsid w:val="001C75CC"/>
    <w:rsid w:val="001C77F0"/>
    <w:rsid w:val="001C7929"/>
    <w:rsid w:val="001D100F"/>
    <w:rsid w:val="001D104C"/>
    <w:rsid w:val="001D1F0F"/>
    <w:rsid w:val="001D25CF"/>
    <w:rsid w:val="001D271A"/>
    <w:rsid w:val="001D30C9"/>
    <w:rsid w:val="001D3201"/>
    <w:rsid w:val="001D374F"/>
    <w:rsid w:val="001D445B"/>
    <w:rsid w:val="001D4489"/>
    <w:rsid w:val="001D46A0"/>
    <w:rsid w:val="001D4D46"/>
    <w:rsid w:val="001D50C2"/>
    <w:rsid w:val="001D5145"/>
    <w:rsid w:val="001D5A92"/>
    <w:rsid w:val="001D6275"/>
    <w:rsid w:val="001D6446"/>
    <w:rsid w:val="001D753C"/>
    <w:rsid w:val="001D7CA4"/>
    <w:rsid w:val="001D7E58"/>
    <w:rsid w:val="001E0425"/>
    <w:rsid w:val="001E12DE"/>
    <w:rsid w:val="001E13B3"/>
    <w:rsid w:val="001E1944"/>
    <w:rsid w:val="001E265A"/>
    <w:rsid w:val="001E297F"/>
    <w:rsid w:val="001E2A67"/>
    <w:rsid w:val="001E30A0"/>
    <w:rsid w:val="001E3113"/>
    <w:rsid w:val="001E3A20"/>
    <w:rsid w:val="001E3CE8"/>
    <w:rsid w:val="001E3DE1"/>
    <w:rsid w:val="001E48AA"/>
    <w:rsid w:val="001E4D4F"/>
    <w:rsid w:val="001E50B1"/>
    <w:rsid w:val="001E54F9"/>
    <w:rsid w:val="001E57CF"/>
    <w:rsid w:val="001E5904"/>
    <w:rsid w:val="001E5981"/>
    <w:rsid w:val="001E67CD"/>
    <w:rsid w:val="001E6826"/>
    <w:rsid w:val="001E6A08"/>
    <w:rsid w:val="001E6D01"/>
    <w:rsid w:val="001E6E8E"/>
    <w:rsid w:val="001E74BA"/>
    <w:rsid w:val="001E74EF"/>
    <w:rsid w:val="001E7B9F"/>
    <w:rsid w:val="001F01FB"/>
    <w:rsid w:val="001F0275"/>
    <w:rsid w:val="001F0658"/>
    <w:rsid w:val="001F0A2B"/>
    <w:rsid w:val="001F0C29"/>
    <w:rsid w:val="001F0E92"/>
    <w:rsid w:val="001F1987"/>
    <w:rsid w:val="001F1B7C"/>
    <w:rsid w:val="001F201D"/>
    <w:rsid w:val="001F204F"/>
    <w:rsid w:val="001F21BC"/>
    <w:rsid w:val="001F22D5"/>
    <w:rsid w:val="001F23BD"/>
    <w:rsid w:val="001F2560"/>
    <w:rsid w:val="001F2680"/>
    <w:rsid w:val="001F2B3E"/>
    <w:rsid w:val="001F32E0"/>
    <w:rsid w:val="001F34DA"/>
    <w:rsid w:val="001F423D"/>
    <w:rsid w:val="001F4DAC"/>
    <w:rsid w:val="001F5019"/>
    <w:rsid w:val="001F51C5"/>
    <w:rsid w:val="001F5F47"/>
    <w:rsid w:val="001F65B0"/>
    <w:rsid w:val="001F67AA"/>
    <w:rsid w:val="001F6AFD"/>
    <w:rsid w:val="001F738D"/>
    <w:rsid w:val="001F7599"/>
    <w:rsid w:val="001F7908"/>
    <w:rsid w:val="00200457"/>
    <w:rsid w:val="0020080D"/>
    <w:rsid w:val="00201B0F"/>
    <w:rsid w:val="002034CD"/>
    <w:rsid w:val="00204A2A"/>
    <w:rsid w:val="00204B22"/>
    <w:rsid w:val="00204B3A"/>
    <w:rsid w:val="0020535A"/>
    <w:rsid w:val="002055CB"/>
    <w:rsid w:val="002059EF"/>
    <w:rsid w:val="00205A4B"/>
    <w:rsid w:val="00205BDB"/>
    <w:rsid w:val="00205ED5"/>
    <w:rsid w:val="00206076"/>
    <w:rsid w:val="0020615E"/>
    <w:rsid w:val="00206652"/>
    <w:rsid w:val="00206857"/>
    <w:rsid w:val="00206955"/>
    <w:rsid w:val="00206A79"/>
    <w:rsid w:val="00206AC5"/>
    <w:rsid w:val="002071E0"/>
    <w:rsid w:val="00207729"/>
    <w:rsid w:val="00207754"/>
    <w:rsid w:val="00207DF2"/>
    <w:rsid w:val="00210309"/>
    <w:rsid w:val="00211305"/>
    <w:rsid w:val="002114F0"/>
    <w:rsid w:val="00211519"/>
    <w:rsid w:val="002119B1"/>
    <w:rsid w:val="00211C74"/>
    <w:rsid w:val="0021224B"/>
    <w:rsid w:val="00212473"/>
    <w:rsid w:val="00212950"/>
    <w:rsid w:val="00212FB8"/>
    <w:rsid w:val="002135DC"/>
    <w:rsid w:val="00213709"/>
    <w:rsid w:val="00213781"/>
    <w:rsid w:val="00214012"/>
    <w:rsid w:val="0021480A"/>
    <w:rsid w:val="002149AF"/>
    <w:rsid w:val="002149FF"/>
    <w:rsid w:val="00214A86"/>
    <w:rsid w:val="00215AAA"/>
    <w:rsid w:val="00215F73"/>
    <w:rsid w:val="002166F0"/>
    <w:rsid w:val="0021683C"/>
    <w:rsid w:val="002169B3"/>
    <w:rsid w:val="00216F5F"/>
    <w:rsid w:val="00217B3A"/>
    <w:rsid w:val="00217C1E"/>
    <w:rsid w:val="00220615"/>
    <w:rsid w:val="00220B0B"/>
    <w:rsid w:val="00220B56"/>
    <w:rsid w:val="0022101C"/>
    <w:rsid w:val="00221985"/>
    <w:rsid w:val="00221EC5"/>
    <w:rsid w:val="0022284A"/>
    <w:rsid w:val="00222A7A"/>
    <w:rsid w:val="00222C06"/>
    <w:rsid w:val="00223606"/>
    <w:rsid w:val="00223CC1"/>
    <w:rsid w:val="00224A2C"/>
    <w:rsid w:val="00225217"/>
    <w:rsid w:val="002256D9"/>
    <w:rsid w:val="002258A1"/>
    <w:rsid w:val="00226577"/>
    <w:rsid w:val="0022687C"/>
    <w:rsid w:val="002268A7"/>
    <w:rsid w:val="00226E2D"/>
    <w:rsid w:val="00227A3E"/>
    <w:rsid w:val="00227B2C"/>
    <w:rsid w:val="002306F8"/>
    <w:rsid w:val="00230A2D"/>
    <w:rsid w:val="002312F4"/>
    <w:rsid w:val="002313A2"/>
    <w:rsid w:val="00231FC7"/>
    <w:rsid w:val="0023288C"/>
    <w:rsid w:val="00232930"/>
    <w:rsid w:val="00232982"/>
    <w:rsid w:val="00232A95"/>
    <w:rsid w:val="00232C3F"/>
    <w:rsid w:val="00232DD9"/>
    <w:rsid w:val="0023308F"/>
    <w:rsid w:val="00233403"/>
    <w:rsid w:val="00233440"/>
    <w:rsid w:val="00233609"/>
    <w:rsid w:val="00233D0E"/>
    <w:rsid w:val="00234270"/>
    <w:rsid w:val="002344B6"/>
    <w:rsid w:val="00234B61"/>
    <w:rsid w:val="00234E13"/>
    <w:rsid w:val="00236065"/>
    <w:rsid w:val="00236223"/>
    <w:rsid w:val="00236450"/>
    <w:rsid w:val="002365AA"/>
    <w:rsid w:val="002375D1"/>
    <w:rsid w:val="0023765A"/>
    <w:rsid w:val="00237921"/>
    <w:rsid w:val="00237C1E"/>
    <w:rsid w:val="00240342"/>
    <w:rsid w:val="0024044A"/>
    <w:rsid w:val="0024076B"/>
    <w:rsid w:val="002407C3"/>
    <w:rsid w:val="00241311"/>
    <w:rsid w:val="00241316"/>
    <w:rsid w:val="002418BE"/>
    <w:rsid w:val="002418E8"/>
    <w:rsid w:val="00241ED1"/>
    <w:rsid w:val="00242E22"/>
    <w:rsid w:val="00242FCC"/>
    <w:rsid w:val="0024336B"/>
    <w:rsid w:val="00243389"/>
    <w:rsid w:val="00244194"/>
    <w:rsid w:val="0024424F"/>
    <w:rsid w:val="00244404"/>
    <w:rsid w:val="00244D28"/>
    <w:rsid w:val="002452A0"/>
    <w:rsid w:val="00245689"/>
    <w:rsid w:val="00245720"/>
    <w:rsid w:val="00245A6F"/>
    <w:rsid w:val="00245FD5"/>
    <w:rsid w:val="002461BC"/>
    <w:rsid w:val="00246A4E"/>
    <w:rsid w:val="002473C1"/>
    <w:rsid w:val="002477DF"/>
    <w:rsid w:val="00247954"/>
    <w:rsid w:val="00250C3D"/>
    <w:rsid w:val="00250FB1"/>
    <w:rsid w:val="00251AD6"/>
    <w:rsid w:val="00252AB7"/>
    <w:rsid w:val="00252C17"/>
    <w:rsid w:val="00252C1E"/>
    <w:rsid w:val="0025307F"/>
    <w:rsid w:val="002531A3"/>
    <w:rsid w:val="00253B87"/>
    <w:rsid w:val="00253CD6"/>
    <w:rsid w:val="00254125"/>
    <w:rsid w:val="002551BD"/>
    <w:rsid w:val="002557DD"/>
    <w:rsid w:val="002568D0"/>
    <w:rsid w:val="00256A9B"/>
    <w:rsid w:val="002571F1"/>
    <w:rsid w:val="00257EED"/>
    <w:rsid w:val="00260A49"/>
    <w:rsid w:val="00260AEE"/>
    <w:rsid w:val="00261689"/>
    <w:rsid w:val="002619A0"/>
    <w:rsid w:val="002621A6"/>
    <w:rsid w:val="00262661"/>
    <w:rsid w:val="0026267B"/>
    <w:rsid w:val="00262D9D"/>
    <w:rsid w:val="00262E9D"/>
    <w:rsid w:val="002632DF"/>
    <w:rsid w:val="002637B3"/>
    <w:rsid w:val="00263946"/>
    <w:rsid w:val="002640BA"/>
    <w:rsid w:val="00264808"/>
    <w:rsid w:val="00264A87"/>
    <w:rsid w:val="00264CF2"/>
    <w:rsid w:val="00264F7F"/>
    <w:rsid w:val="00265BF0"/>
    <w:rsid w:val="00266287"/>
    <w:rsid w:val="002667A8"/>
    <w:rsid w:val="00267587"/>
    <w:rsid w:val="002675C8"/>
    <w:rsid w:val="00267760"/>
    <w:rsid w:val="0026791F"/>
    <w:rsid w:val="00267D0A"/>
    <w:rsid w:val="00271589"/>
    <w:rsid w:val="0027314F"/>
    <w:rsid w:val="00273177"/>
    <w:rsid w:val="00273891"/>
    <w:rsid w:val="0027420E"/>
    <w:rsid w:val="0027455B"/>
    <w:rsid w:val="00274801"/>
    <w:rsid w:val="00275074"/>
    <w:rsid w:val="002761E3"/>
    <w:rsid w:val="002763E9"/>
    <w:rsid w:val="00276655"/>
    <w:rsid w:val="00276736"/>
    <w:rsid w:val="00276F4E"/>
    <w:rsid w:val="00277130"/>
    <w:rsid w:val="0027728A"/>
    <w:rsid w:val="002774A0"/>
    <w:rsid w:val="0027773D"/>
    <w:rsid w:val="00277814"/>
    <w:rsid w:val="002778BD"/>
    <w:rsid w:val="00280C44"/>
    <w:rsid w:val="00280D1C"/>
    <w:rsid w:val="00281361"/>
    <w:rsid w:val="0028138D"/>
    <w:rsid w:val="002815BF"/>
    <w:rsid w:val="002815FA"/>
    <w:rsid w:val="002819A5"/>
    <w:rsid w:val="00281EF5"/>
    <w:rsid w:val="002823D5"/>
    <w:rsid w:val="002824C2"/>
    <w:rsid w:val="00282B2C"/>
    <w:rsid w:val="002835DA"/>
    <w:rsid w:val="00283DB9"/>
    <w:rsid w:val="00284153"/>
    <w:rsid w:val="00284E32"/>
    <w:rsid w:val="002851EB"/>
    <w:rsid w:val="00285510"/>
    <w:rsid w:val="00285BD1"/>
    <w:rsid w:val="00285CB5"/>
    <w:rsid w:val="00285DE2"/>
    <w:rsid w:val="0028616D"/>
    <w:rsid w:val="00286965"/>
    <w:rsid w:val="00287190"/>
    <w:rsid w:val="0028791F"/>
    <w:rsid w:val="002900C7"/>
    <w:rsid w:val="0029136E"/>
    <w:rsid w:val="00291C14"/>
    <w:rsid w:val="00292072"/>
    <w:rsid w:val="00292399"/>
    <w:rsid w:val="002928E4"/>
    <w:rsid w:val="00292A28"/>
    <w:rsid w:val="00292B11"/>
    <w:rsid w:val="002932C8"/>
    <w:rsid w:val="00293436"/>
    <w:rsid w:val="002942C8"/>
    <w:rsid w:val="00294445"/>
    <w:rsid w:val="00294B4D"/>
    <w:rsid w:val="0029537E"/>
    <w:rsid w:val="002956A8"/>
    <w:rsid w:val="002960D5"/>
    <w:rsid w:val="002971F9"/>
    <w:rsid w:val="00297284"/>
    <w:rsid w:val="00297807"/>
    <w:rsid w:val="00297926"/>
    <w:rsid w:val="00297B17"/>
    <w:rsid w:val="00297FA0"/>
    <w:rsid w:val="002A0045"/>
    <w:rsid w:val="002A02C9"/>
    <w:rsid w:val="002A046A"/>
    <w:rsid w:val="002A054B"/>
    <w:rsid w:val="002A075C"/>
    <w:rsid w:val="002A092C"/>
    <w:rsid w:val="002A1062"/>
    <w:rsid w:val="002A16F1"/>
    <w:rsid w:val="002A2012"/>
    <w:rsid w:val="002A220A"/>
    <w:rsid w:val="002A2275"/>
    <w:rsid w:val="002A2413"/>
    <w:rsid w:val="002A2F5E"/>
    <w:rsid w:val="002A352A"/>
    <w:rsid w:val="002A47F7"/>
    <w:rsid w:val="002A48C4"/>
    <w:rsid w:val="002A48E7"/>
    <w:rsid w:val="002A5FF5"/>
    <w:rsid w:val="002A607D"/>
    <w:rsid w:val="002A64A7"/>
    <w:rsid w:val="002A6622"/>
    <w:rsid w:val="002A7C1C"/>
    <w:rsid w:val="002B0636"/>
    <w:rsid w:val="002B0E1A"/>
    <w:rsid w:val="002B132E"/>
    <w:rsid w:val="002B1499"/>
    <w:rsid w:val="002B21D8"/>
    <w:rsid w:val="002B2813"/>
    <w:rsid w:val="002B2D29"/>
    <w:rsid w:val="002B36A4"/>
    <w:rsid w:val="002B392A"/>
    <w:rsid w:val="002B3B31"/>
    <w:rsid w:val="002B3B43"/>
    <w:rsid w:val="002B3BBD"/>
    <w:rsid w:val="002B40B0"/>
    <w:rsid w:val="002B4CA2"/>
    <w:rsid w:val="002B4DA6"/>
    <w:rsid w:val="002B5A02"/>
    <w:rsid w:val="002B5DF0"/>
    <w:rsid w:val="002B609D"/>
    <w:rsid w:val="002B6302"/>
    <w:rsid w:val="002B654B"/>
    <w:rsid w:val="002B665A"/>
    <w:rsid w:val="002B6A47"/>
    <w:rsid w:val="002B6AD4"/>
    <w:rsid w:val="002B7496"/>
    <w:rsid w:val="002C0C4B"/>
    <w:rsid w:val="002C10AD"/>
    <w:rsid w:val="002C1577"/>
    <w:rsid w:val="002C1EEA"/>
    <w:rsid w:val="002C2823"/>
    <w:rsid w:val="002C379A"/>
    <w:rsid w:val="002C3EC5"/>
    <w:rsid w:val="002C47AD"/>
    <w:rsid w:val="002C5510"/>
    <w:rsid w:val="002C58A9"/>
    <w:rsid w:val="002C6034"/>
    <w:rsid w:val="002C635B"/>
    <w:rsid w:val="002C694B"/>
    <w:rsid w:val="002C7276"/>
    <w:rsid w:val="002C770F"/>
    <w:rsid w:val="002C7CFF"/>
    <w:rsid w:val="002C7F08"/>
    <w:rsid w:val="002D04EF"/>
    <w:rsid w:val="002D08BC"/>
    <w:rsid w:val="002D0A5F"/>
    <w:rsid w:val="002D0BC6"/>
    <w:rsid w:val="002D0D9C"/>
    <w:rsid w:val="002D12DB"/>
    <w:rsid w:val="002D17C5"/>
    <w:rsid w:val="002D1EE2"/>
    <w:rsid w:val="002D1F0B"/>
    <w:rsid w:val="002D2445"/>
    <w:rsid w:val="002D2590"/>
    <w:rsid w:val="002D365F"/>
    <w:rsid w:val="002D3F12"/>
    <w:rsid w:val="002D428F"/>
    <w:rsid w:val="002D43C7"/>
    <w:rsid w:val="002D4830"/>
    <w:rsid w:val="002D4A68"/>
    <w:rsid w:val="002D4AFF"/>
    <w:rsid w:val="002D4B2F"/>
    <w:rsid w:val="002D4F44"/>
    <w:rsid w:val="002D51DF"/>
    <w:rsid w:val="002D555F"/>
    <w:rsid w:val="002D587C"/>
    <w:rsid w:val="002D5E9D"/>
    <w:rsid w:val="002D5ED6"/>
    <w:rsid w:val="002D6892"/>
    <w:rsid w:val="002D68C2"/>
    <w:rsid w:val="002D6958"/>
    <w:rsid w:val="002D6C5D"/>
    <w:rsid w:val="002D6F30"/>
    <w:rsid w:val="002D77D3"/>
    <w:rsid w:val="002D7838"/>
    <w:rsid w:val="002D7C86"/>
    <w:rsid w:val="002E0692"/>
    <w:rsid w:val="002E08D7"/>
    <w:rsid w:val="002E0C48"/>
    <w:rsid w:val="002E152D"/>
    <w:rsid w:val="002E191D"/>
    <w:rsid w:val="002E1A54"/>
    <w:rsid w:val="002E1D74"/>
    <w:rsid w:val="002E2943"/>
    <w:rsid w:val="002E2C49"/>
    <w:rsid w:val="002E2CF1"/>
    <w:rsid w:val="002E34AF"/>
    <w:rsid w:val="002E378A"/>
    <w:rsid w:val="002E3BE7"/>
    <w:rsid w:val="002E4AAC"/>
    <w:rsid w:val="002E4AFC"/>
    <w:rsid w:val="002E4D22"/>
    <w:rsid w:val="002E53DE"/>
    <w:rsid w:val="002E563B"/>
    <w:rsid w:val="002E5CFA"/>
    <w:rsid w:val="002E62D2"/>
    <w:rsid w:val="002E734F"/>
    <w:rsid w:val="002E746D"/>
    <w:rsid w:val="002E74AF"/>
    <w:rsid w:val="002E758C"/>
    <w:rsid w:val="002E7B02"/>
    <w:rsid w:val="002E7D75"/>
    <w:rsid w:val="002F0C0C"/>
    <w:rsid w:val="002F0DB9"/>
    <w:rsid w:val="002F1038"/>
    <w:rsid w:val="002F22FF"/>
    <w:rsid w:val="002F28AA"/>
    <w:rsid w:val="002F2D8F"/>
    <w:rsid w:val="002F2FF0"/>
    <w:rsid w:val="002F327E"/>
    <w:rsid w:val="002F3C1C"/>
    <w:rsid w:val="002F3D68"/>
    <w:rsid w:val="002F3EC0"/>
    <w:rsid w:val="002F4893"/>
    <w:rsid w:val="002F4A00"/>
    <w:rsid w:val="002F4C60"/>
    <w:rsid w:val="002F5BE4"/>
    <w:rsid w:val="002F5E3B"/>
    <w:rsid w:val="002F64F6"/>
    <w:rsid w:val="002F6917"/>
    <w:rsid w:val="002F695B"/>
    <w:rsid w:val="002F715E"/>
    <w:rsid w:val="002F72DA"/>
    <w:rsid w:val="002F76B1"/>
    <w:rsid w:val="002F7D66"/>
    <w:rsid w:val="002F7DBE"/>
    <w:rsid w:val="0030090B"/>
    <w:rsid w:val="00302AE8"/>
    <w:rsid w:val="00302BB1"/>
    <w:rsid w:val="003030F0"/>
    <w:rsid w:val="0030404B"/>
    <w:rsid w:val="00304210"/>
    <w:rsid w:val="00304581"/>
    <w:rsid w:val="003048D7"/>
    <w:rsid w:val="00304A1B"/>
    <w:rsid w:val="00304AD2"/>
    <w:rsid w:val="00304EAA"/>
    <w:rsid w:val="003051B8"/>
    <w:rsid w:val="00305297"/>
    <w:rsid w:val="00305493"/>
    <w:rsid w:val="003062E6"/>
    <w:rsid w:val="0030662D"/>
    <w:rsid w:val="003068B6"/>
    <w:rsid w:val="003071F6"/>
    <w:rsid w:val="00307FE0"/>
    <w:rsid w:val="003101EC"/>
    <w:rsid w:val="00310497"/>
    <w:rsid w:val="0031049E"/>
    <w:rsid w:val="003107EB"/>
    <w:rsid w:val="00310B4A"/>
    <w:rsid w:val="00310E66"/>
    <w:rsid w:val="003110EE"/>
    <w:rsid w:val="003115D7"/>
    <w:rsid w:val="003119D3"/>
    <w:rsid w:val="00311C08"/>
    <w:rsid w:val="00312565"/>
    <w:rsid w:val="003125E0"/>
    <w:rsid w:val="00312ECE"/>
    <w:rsid w:val="0031393C"/>
    <w:rsid w:val="00313CB0"/>
    <w:rsid w:val="00313D93"/>
    <w:rsid w:val="00313F96"/>
    <w:rsid w:val="0031421E"/>
    <w:rsid w:val="003142FB"/>
    <w:rsid w:val="00314418"/>
    <w:rsid w:val="00314820"/>
    <w:rsid w:val="00314B0A"/>
    <w:rsid w:val="0031506C"/>
    <w:rsid w:val="003150CE"/>
    <w:rsid w:val="00315180"/>
    <w:rsid w:val="003154F7"/>
    <w:rsid w:val="00315AAB"/>
    <w:rsid w:val="00315C19"/>
    <w:rsid w:val="0031710E"/>
    <w:rsid w:val="003175E1"/>
    <w:rsid w:val="003179B0"/>
    <w:rsid w:val="00320223"/>
    <w:rsid w:val="00320299"/>
    <w:rsid w:val="00321154"/>
    <w:rsid w:val="003211B0"/>
    <w:rsid w:val="00321987"/>
    <w:rsid w:val="00321EDA"/>
    <w:rsid w:val="003224AA"/>
    <w:rsid w:val="003224E7"/>
    <w:rsid w:val="00322597"/>
    <w:rsid w:val="00322BA8"/>
    <w:rsid w:val="0032300A"/>
    <w:rsid w:val="003232DA"/>
    <w:rsid w:val="00323F3F"/>
    <w:rsid w:val="00324628"/>
    <w:rsid w:val="00325132"/>
    <w:rsid w:val="00325D7A"/>
    <w:rsid w:val="00326145"/>
    <w:rsid w:val="0032616A"/>
    <w:rsid w:val="0032651C"/>
    <w:rsid w:val="00326B21"/>
    <w:rsid w:val="00327163"/>
    <w:rsid w:val="00327305"/>
    <w:rsid w:val="00327531"/>
    <w:rsid w:val="00327E9C"/>
    <w:rsid w:val="00330183"/>
    <w:rsid w:val="00330187"/>
    <w:rsid w:val="00330247"/>
    <w:rsid w:val="0033097F"/>
    <w:rsid w:val="003309E4"/>
    <w:rsid w:val="00331C77"/>
    <w:rsid w:val="00331DB6"/>
    <w:rsid w:val="00331F96"/>
    <w:rsid w:val="00332002"/>
    <w:rsid w:val="0033228D"/>
    <w:rsid w:val="003327F8"/>
    <w:rsid w:val="00332A2B"/>
    <w:rsid w:val="00332B55"/>
    <w:rsid w:val="003336B9"/>
    <w:rsid w:val="0033371E"/>
    <w:rsid w:val="0033476C"/>
    <w:rsid w:val="003348E0"/>
    <w:rsid w:val="00334DD8"/>
    <w:rsid w:val="00334FF1"/>
    <w:rsid w:val="00335069"/>
    <w:rsid w:val="00335630"/>
    <w:rsid w:val="00335EA8"/>
    <w:rsid w:val="003363DD"/>
    <w:rsid w:val="00336EDB"/>
    <w:rsid w:val="0033778D"/>
    <w:rsid w:val="00337810"/>
    <w:rsid w:val="00337A9C"/>
    <w:rsid w:val="00337B52"/>
    <w:rsid w:val="00337E8B"/>
    <w:rsid w:val="00340361"/>
    <w:rsid w:val="00340795"/>
    <w:rsid w:val="00340C9E"/>
    <w:rsid w:val="00340DFA"/>
    <w:rsid w:val="0034111C"/>
    <w:rsid w:val="00341947"/>
    <w:rsid w:val="00341E60"/>
    <w:rsid w:val="0034217F"/>
    <w:rsid w:val="00342642"/>
    <w:rsid w:val="00342AD2"/>
    <w:rsid w:val="00342B58"/>
    <w:rsid w:val="00343351"/>
    <w:rsid w:val="003435BA"/>
    <w:rsid w:val="00343954"/>
    <w:rsid w:val="00344883"/>
    <w:rsid w:val="00344BCA"/>
    <w:rsid w:val="00344D02"/>
    <w:rsid w:val="0034500C"/>
    <w:rsid w:val="00345405"/>
    <w:rsid w:val="0034582A"/>
    <w:rsid w:val="00345D69"/>
    <w:rsid w:val="00345DDD"/>
    <w:rsid w:val="00346221"/>
    <w:rsid w:val="00346500"/>
    <w:rsid w:val="00346B41"/>
    <w:rsid w:val="00346BFF"/>
    <w:rsid w:val="00346E1C"/>
    <w:rsid w:val="00346FED"/>
    <w:rsid w:val="00347A41"/>
    <w:rsid w:val="00347FCA"/>
    <w:rsid w:val="003501B6"/>
    <w:rsid w:val="003507FF"/>
    <w:rsid w:val="003515A9"/>
    <w:rsid w:val="00351E01"/>
    <w:rsid w:val="003525B8"/>
    <w:rsid w:val="00352968"/>
    <w:rsid w:val="0035298B"/>
    <w:rsid w:val="00352D21"/>
    <w:rsid w:val="00353D79"/>
    <w:rsid w:val="0035411C"/>
    <w:rsid w:val="0035419C"/>
    <w:rsid w:val="0035443D"/>
    <w:rsid w:val="00354517"/>
    <w:rsid w:val="00354AA2"/>
    <w:rsid w:val="00354D8B"/>
    <w:rsid w:val="00354FEE"/>
    <w:rsid w:val="00356275"/>
    <w:rsid w:val="00356C0B"/>
    <w:rsid w:val="00356EFA"/>
    <w:rsid w:val="00357B9C"/>
    <w:rsid w:val="00357ED3"/>
    <w:rsid w:val="00357F7D"/>
    <w:rsid w:val="003600C2"/>
    <w:rsid w:val="00360626"/>
    <w:rsid w:val="00361412"/>
    <w:rsid w:val="003615CA"/>
    <w:rsid w:val="003621AC"/>
    <w:rsid w:val="00362B60"/>
    <w:rsid w:val="00362D38"/>
    <w:rsid w:val="00363884"/>
    <w:rsid w:val="003638E0"/>
    <w:rsid w:val="00363B2C"/>
    <w:rsid w:val="003642A6"/>
    <w:rsid w:val="003643D2"/>
    <w:rsid w:val="00364763"/>
    <w:rsid w:val="00364AA7"/>
    <w:rsid w:val="00364BC9"/>
    <w:rsid w:val="00365C3D"/>
    <w:rsid w:val="0036626E"/>
    <w:rsid w:val="003663B4"/>
    <w:rsid w:val="00366B9E"/>
    <w:rsid w:val="00366BE9"/>
    <w:rsid w:val="00366C1B"/>
    <w:rsid w:val="003671EE"/>
    <w:rsid w:val="00367337"/>
    <w:rsid w:val="00367367"/>
    <w:rsid w:val="00367FD8"/>
    <w:rsid w:val="0037004E"/>
    <w:rsid w:val="0037051E"/>
    <w:rsid w:val="00370B63"/>
    <w:rsid w:val="00370FCC"/>
    <w:rsid w:val="003711AF"/>
    <w:rsid w:val="003723F4"/>
    <w:rsid w:val="003735C6"/>
    <w:rsid w:val="003740FB"/>
    <w:rsid w:val="00374848"/>
    <w:rsid w:val="0037550F"/>
    <w:rsid w:val="003757A1"/>
    <w:rsid w:val="003759F1"/>
    <w:rsid w:val="00375D09"/>
    <w:rsid w:val="00375FEB"/>
    <w:rsid w:val="003762DC"/>
    <w:rsid w:val="00376815"/>
    <w:rsid w:val="00376AA7"/>
    <w:rsid w:val="00376FC4"/>
    <w:rsid w:val="0037739D"/>
    <w:rsid w:val="0037751C"/>
    <w:rsid w:val="00377680"/>
    <w:rsid w:val="00377D61"/>
    <w:rsid w:val="003803D4"/>
    <w:rsid w:val="0038060B"/>
    <w:rsid w:val="003806CA"/>
    <w:rsid w:val="00380B66"/>
    <w:rsid w:val="00380BE9"/>
    <w:rsid w:val="00380C57"/>
    <w:rsid w:val="00380F3F"/>
    <w:rsid w:val="003813BB"/>
    <w:rsid w:val="0038154F"/>
    <w:rsid w:val="00381953"/>
    <w:rsid w:val="00382232"/>
    <w:rsid w:val="0038262B"/>
    <w:rsid w:val="00382F1A"/>
    <w:rsid w:val="00382F9A"/>
    <w:rsid w:val="003830C7"/>
    <w:rsid w:val="00383282"/>
    <w:rsid w:val="00383422"/>
    <w:rsid w:val="00383425"/>
    <w:rsid w:val="00383658"/>
    <w:rsid w:val="00383FA7"/>
    <w:rsid w:val="0038412E"/>
    <w:rsid w:val="003844B8"/>
    <w:rsid w:val="00385172"/>
    <w:rsid w:val="00385679"/>
    <w:rsid w:val="00386053"/>
    <w:rsid w:val="0038609B"/>
    <w:rsid w:val="003861E5"/>
    <w:rsid w:val="00386300"/>
    <w:rsid w:val="0038653B"/>
    <w:rsid w:val="00386C0A"/>
    <w:rsid w:val="00387459"/>
    <w:rsid w:val="00387525"/>
    <w:rsid w:val="0038771D"/>
    <w:rsid w:val="00387B43"/>
    <w:rsid w:val="00387E2A"/>
    <w:rsid w:val="0039053E"/>
    <w:rsid w:val="00390935"/>
    <w:rsid w:val="00391DB3"/>
    <w:rsid w:val="00392355"/>
    <w:rsid w:val="0039241F"/>
    <w:rsid w:val="00392491"/>
    <w:rsid w:val="00392748"/>
    <w:rsid w:val="00392DAC"/>
    <w:rsid w:val="003931B8"/>
    <w:rsid w:val="003934B6"/>
    <w:rsid w:val="00393517"/>
    <w:rsid w:val="003935B0"/>
    <w:rsid w:val="00393E44"/>
    <w:rsid w:val="00393F06"/>
    <w:rsid w:val="003941E5"/>
    <w:rsid w:val="00394301"/>
    <w:rsid w:val="003944A9"/>
    <w:rsid w:val="003970F7"/>
    <w:rsid w:val="0039747B"/>
    <w:rsid w:val="003977AB"/>
    <w:rsid w:val="00397AB6"/>
    <w:rsid w:val="00397ACA"/>
    <w:rsid w:val="00397D75"/>
    <w:rsid w:val="00397FE2"/>
    <w:rsid w:val="003A10C3"/>
    <w:rsid w:val="003A1147"/>
    <w:rsid w:val="003A1D92"/>
    <w:rsid w:val="003A313A"/>
    <w:rsid w:val="003A35DD"/>
    <w:rsid w:val="003A42CB"/>
    <w:rsid w:val="003A455E"/>
    <w:rsid w:val="003A495D"/>
    <w:rsid w:val="003A4A40"/>
    <w:rsid w:val="003A4C7C"/>
    <w:rsid w:val="003A4DC7"/>
    <w:rsid w:val="003A5611"/>
    <w:rsid w:val="003A57B8"/>
    <w:rsid w:val="003A5844"/>
    <w:rsid w:val="003A586E"/>
    <w:rsid w:val="003A597F"/>
    <w:rsid w:val="003A71A8"/>
    <w:rsid w:val="003A71D2"/>
    <w:rsid w:val="003A78D4"/>
    <w:rsid w:val="003A78E6"/>
    <w:rsid w:val="003A7F47"/>
    <w:rsid w:val="003B00CA"/>
    <w:rsid w:val="003B01CD"/>
    <w:rsid w:val="003B030B"/>
    <w:rsid w:val="003B0432"/>
    <w:rsid w:val="003B0821"/>
    <w:rsid w:val="003B0BE9"/>
    <w:rsid w:val="003B0F4B"/>
    <w:rsid w:val="003B0F4D"/>
    <w:rsid w:val="003B2A7C"/>
    <w:rsid w:val="003B2E9B"/>
    <w:rsid w:val="003B2F8D"/>
    <w:rsid w:val="003B3B2C"/>
    <w:rsid w:val="003B3C64"/>
    <w:rsid w:val="003B4A65"/>
    <w:rsid w:val="003B4BB5"/>
    <w:rsid w:val="003B4FAA"/>
    <w:rsid w:val="003B547A"/>
    <w:rsid w:val="003B5E03"/>
    <w:rsid w:val="003B632F"/>
    <w:rsid w:val="003B6EC0"/>
    <w:rsid w:val="003B7320"/>
    <w:rsid w:val="003B7373"/>
    <w:rsid w:val="003B74B7"/>
    <w:rsid w:val="003B75B9"/>
    <w:rsid w:val="003B7820"/>
    <w:rsid w:val="003B7A10"/>
    <w:rsid w:val="003C087B"/>
    <w:rsid w:val="003C0DA2"/>
    <w:rsid w:val="003C1A18"/>
    <w:rsid w:val="003C2592"/>
    <w:rsid w:val="003C2798"/>
    <w:rsid w:val="003C2B40"/>
    <w:rsid w:val="003C38CD"/>
    <w:rsid w:val="003C4232"/>
    <w:rsid w:val="003C4D56"/>
    <w:rsid w:val="003C509E"/>
    <w:rsid w:val="003C5C41"/>
    <w:rsid w:val="003C5CE6"/>
    <w:rsid w:val="003C5D2B"/>
    <w:rsid w:val="003C669D"/>
    <w:rsid w:val="003C6877"/>
    <w:rsid w:val="003C6EA0"/>
    <w:rsid w:val="003C7062"/>
    <w:rsid w:val="003C7461"/>
    <w:rsid w:val="003C7B31"/>
    <w:rsid w:val="003D028F"/>
    <w:rsid w:val="003D0788"/>
    <w:rsid w:val="003D1057"/>
    <w:rsid w:val="003D132A"/>
    <w:rsid w:val="003D1517"/>
    <w:rsid w:val="003D1CEF"/>
    <w:rsid w:val="003D1D50"/>
    <w:rsid w:val="003D1E7E"/>
    <w:rsid w:val="003D1F02"/>
    <w:rsid w:val="003D232D"/>
    <w:rsid w:val="003D286B"/>
    <w:rsid w:val="003D2938"/>
    <w:rsid w:val="003D3783"/>
    <w:rsid w:val="003D3B36"/>
    <w:rsid w:val="003D3FBA"/>
    <w:rsid w:val="003D402B"/>
    <w:rsid w:val="003D4206"/>
    <w:rsid w:val="003D47D4"/>
    <w:rsid w:val="003D54B0"/>
    <w:rsid w:val="003D6B1F"/>
    <w:rsid w:val="003D764F"/>
    <w:rsid w:val="003D76EF"/>
    <w:rsid w:val="003D78C1"/>
    <w:rsid w:val="003D79DE"/>
    <w:rsid w:val="003E0042"/>
    <w:rsid w:val="003E0234"/>
    <w:rsid w:val="003E0667"/>
    <w:rsid w:val="003E0BCE"/>
    <w:rsid w:val="003E0DF3"/>
    <w:rsid w:val="003E13E0"/>
    <w:rsid w:val="003E1623"/>
    <w:rsid w:val="003E1660"/>
    <w:rsid w:val="003E182B"/>
    <w:rsid w:val="003E1CD1"/>
    <w:rsid w:val="003E21B4"/>
    <w:rsid w:val="003E2873"/>
    <w:rsid w:val="003E2A2D"/>
    <w:rsid w:val="003E34AB"/>
    <w:rsid w:val="003E3D95"/>
    <w:rsid w:val="003E47D4"/>
    <w:rsid w:val="003E489E"/>
    <w:rsid w:val="003E49AA"/>
    <w:rsid w:val="003E5032"/>
    <w:rsid w:val="003E50B9"/>
    <w:rsid w:val="003E5831"/>
    <w:rsid w:val="003E64A9"/>
    <w:rsid w:val="003E65A9"/>
    <w:rsid w:val="003E6B81"/>
    <w:rsid w:val="003E6C41"/>
    <w:rsid w:val="003E7905"/>
    <w:rsid w:val="003E7CD2"/>
    <w:rsid w:val="003F0336"/>
    <w:rsid w:val="003F0367"/>
    <w:rsid w:val="003F07D2"/>
    <w:rsid w:val="003F236A"/>
    <w:rsid w:val="003F2429"/>
    <w:rsid w:val="003F310D"/>
    <w:rsid w:val="003F3480"/>
    <w:rsid w:val="003F34F0"/>
    <w:rsid w:val="003F3520"/>
    <w:rsid w:val="003F39FB"/>
    <w:rsid w:val="003F3FCC"/>
    <w:rsid w:val="003F4859"/>
    <w:rsid w:val="003F5547"/>
    <w:rsid w:val="003F5C40"/>
    <w:rsid w:val="003F6A6F"/>
    <w:rsid w:val="003F6E12"/>
    <w:rsid w:val="003F6F8B"/>
    <w:rsid w:val="003F74F9"/>
    <w:rsid w:val="003F75ED"/>
    <w:rsid w:val="003F7818"/>
    <w:rsid w:val="003F7F6A"/>
    <w:rsid w:val="004002B7"/>
    <w:rsid w:val="004004D0"/>
    <w:rsid w:val="0040066E"/>
    <w:rsid w:val="004009DD"/>
    <w:rsid w:val="00400F31"/>
    <w:rsid w:val="004014F8"/>
    <w:rsid w:val="00401C37"/>
    <w:rsid w:val="00402135"/>
    <w:rsid w:val="004023BA"/>
    <w:rsid w:val="00403016"/>
    <w:rsid w:val="004031D9"/>
    <w:rsid w:val="0040449A"/>
    <w:rsid w:val="0040471A"/>
    <w:rsid w:val="004053B3"/>
    <w:rsid w:val="0040626F"/>
    <w:rsid w:val="0040631E"/>
    <w:rsid w:val="00406582"/>
    <w:rsid w:val="00406B4D"/>
    <w:rsid w:val="004100B6"/>
    <w:rsid w:val="0041033C"/>
    <w:rsid w:val="00410367"/>
    <w:rsid w:val="004106F0"/>
    <w:rsid w:val="00410869"/>
    <w:rsid w:val="00410A14"/>
    <w:rsid w:val="00412AB0"/>
    <w:rsid w:val="00412BE6"/>
    <w:rsid w:val="0041343E"/>
    <w:rsid w:val="0041443C"/>
    <w:rsid w:val="0041488F"/>
    <w:rsid w:val="00415032"/>
    <w:rsid w:val="004154F7"/>
    <w:rsid w:val="00415D30"/>
    <w:rsid w:val="00416895"/>
    <w:rsid w:val="00416D44"/>
    <w:rsid w:val="00416EFB"/>
    <w:rsid w:val="004172A4"/>
    <w:rsid w:val="004176FF"/>
    <w:rsid w:val="00417A1E"/>
    <w:rsid w:val="00420082"/>
    <w:rsid w:val="00420111"/>
    <w:rsid w:val="0042141A"/>
    <w:rsid w:val="00421A27"/>
    <w:rsid w:val="00421D0A"/>
    <w:rsid w:val="004226C3"/>
    <w:rsid w:val="004228BA"/>
    <w:rsid w:val="00422900"/>
    <w:rsid w:val="004229E7"/>
    <w:rsid w:val="00423520"/>
    <w:rsid w:val="004241C5"/>
    <w:rsid w:val="0042432D"/>
    <w:rsid w:val="004246F1"/>
    <w:rsid w:val="00424FA7"/>
    <w:rsid w:val="0042509A"/>
    <w:rsid w:val="004258E1"/>
    <w:rsid w:val="00425D2C"/>
    <w:rsid w:val="00425E85"/>
    <w:rsid w:val="00425FA3"/>
    <w:rsid w:val="004260FB"/>
    <w:rsid w:val="00426A87"/>
    <w:rsid w:val="00426DDF"/>
    <w:rsid w:val="00427007"/>
    <w:rsid w:val="004275D0"/>
    <w:rsid w:val="004309D8"/>
    <w:rsid w:val="00430BAF"/>
    <w:rsid w:val="00431160"/>
    <w:rsid w:val="004311CC"/>
    <w:rsid w:val="004313D1"/>
    <w:rsid w:val="004315A9"/>
    <w:rsid w:val="00432110"/>
    <w:rsid w:val="004328EE"/>
    <w:rsid w:val="00432BBC"/>
    <w:rsid w:val="00432C8C"/>
    <w:rsid w:val="00432F72"/>
    <w:rsid w:val="00433282"/>
    <w:rsid w:val="00433D49"/>
    <w:rsid w:val="00433D5B"/>
    <w:rsid w:val="00433EBE"/>
    <w:rsid w:val="00434406"/>
    <w:rsid w:val="0043457B"/>
    <w:rsid w:val="00434E6D"/>
    <w:rsid w:val="00434F26"/>
    <w:rsid w:val="00435E42"/>
    <w:rsid w:val="00436460"/>
    <w:rsid w:val="004367F3"/>
    <w:rsid w:val="00437229"/>
    <w:rsid w:val="00440E65"/>
    <w:rsid w:val="00440FED"/>
    <w:rsid w:val="00441B92"/>
    <w:rsid w:val="0044294F"/>
    <w:rsid w:val="00442AC7"/>
    <w:rsid w:val="00442E49"/>
    <w:rsid w:val="004437BA"/>
    <w:rsid w:val="00443A9F"/>
    <w:rsid w:val="004440FC"/>
    <w:rsid w:val="00444405"/>
    <w:rsid w:val="0044474B"/>
    <w:rsid w:val="00445FF7"/>
    <w:rsid w:val="00446F75"/>
    <w:rsid w:val="00450635"/>
    <w:rsid w:val="004508A8"/>
    <w:rsid w:val="00450D99"/>
    <w:rsid w:val="00450F6E"/>
    <w:rsid w:val="00451BAE"/>
    <w:rsid w:val="0045213E"/>
    <w:rsid w:val="004524FB"/>
    <w:rsid w:val="00452AAE"/>
    <w:rsid w:val="00452CA7"/>
    <w:rsid w:val="00453341"/>
    <w:rsid w:val="004545C6"/>
    <w:rsid w:val="00454693"/>
    <w:rsid w:val="00454DCA"/>
    <w:rsid w:val="00454E26"/>
    <w:rsid w:val="00456165"/>
    <w:rsid w:val="0045653C"/>
    <w:rsid w:val="00456544"/>
    <w:rsid w:val="00456649"/>
    <w:rsid w:val="004567AF"/>
    <w:rsid w:val="004567B7"/>
    <w:rsid w:val="004567DC"/>
    <w:rsid w:val="00456856"/>
    <w:rsid w:val="004571EF"/>
    <w:rsid w:val="0045730B"/>
    <w:rsid w:val="00460094"/>
    <w:rsid w:val="0046026E"/>
    <w:rsid w:val="0046047A"/>
    <w:rsid w:val="00460651"/>
    <w:rsid w:val="00460996"/>
    <w:rsid w:val="00461210"/>
    <w:rsid w:val="004612F6"/>
    <w:rsid w:val="004613A5"/>
    <w:rsid w:val="00461700"/>
    <w:rsid w:val="00461AAC"/>
    <w:rsid w:val="00462143"/>
    <w:rsid w:val="004621D5"/>
    <w:rsid w:val="00462490"/>
    <w:rsid w:val="00462AC9"/>
    <w:rsid w:val="00462AE6"/>
    <w:rsid w:val="00463BA7"/>
    <w:rsid w:val="00463DC3"/>
    <w:rsid w:val="00464520"/>
    <w:rsid w:val="0046478F"/>
    <w:rsid w:val="004647F1"/>
    <w:rsid w:val="00465299"/>
    <w:rsid w:val="00465322"/>
    <w:rsid w:val="00465611"/>
    <w:rsid w:val="00465BC3"/>
    <w:rsid w:val="00466A0F"/>
    <w:rsid w:val="004671F1"/>
    <w:rsid w:val="00467502"/>
    <w:rsid w:val="0046795B"/>
    <w:rsid w:val="00467BE6"/>
    <w:rsid w:val="004700CB"/>
    <w:rsid w:val="0047037F"/>
    <w:rsid w:val="00470588"/>
    <w:rsid w:val="004708C0"/>
    <w:rsid w:val="0047115F"/>
    <w:rsid w:val="004712C5"/>
    <w:rsid w:val="004715CB"/>
    <w:rsid w:val="00471863"/>
    <w:rsid w:val="0047231C"/>
    <w:rsid w:val="00472E39"/>
    <w:rsid w:val="00473777"/>
    <w:rsid w:val="00473A14"/>
    <w:rsid w:val="00474096"/>
    <w:rsid w:val="004741C5"/>
    <w:rsid w:val="004745A9"/>
    <w:rsid w:val="0047471B"/>
    <w:rsid w:val="00474871"/>
    <w:rsid w:val="00474CA8"/>
    <w:rsid w:val="00474E43"/>
    <w:rsid w:val="00475697"/>
    <w:rsid w:val="00475B6D"/>
    <w:rsid w:val="00476204"/>
    <w:rsid w:val="0047635A"/>
    <w:rsid w:val="004766DA"/>
    <w:rsid w:val="00476A55"/>
    <w:rsid w:val="00477995"/>
    <w:rsid w:val="00480195"/>
    <w:rsid w:val="0048076D"/>
    <w:rsid w:val="00480879"/>
    <w:rsid w:val="00481123"/>
    <w:rsid w:val="0048130A"/>
    <w:rsid w:val="00481312"/>
    <w:rsid w:val="0048134D"/>
    <w:rsid w:val="00481624"/>
    <w:rsid w:val="00481765"/>
    <w:rsid w:val="00481D90"/>
    <w:rsid w:val="0048230A"/>
    <w:rsid w:val="00482700"/>
    <w:rsid w:val="00482782"/>
    <w:rsid w:val="00482927"/>
    <w:rsid w:val="00482B0B"/>
    <w:rsid w:val="00482CD4"/>
    <w:rsid w:val="00483261"/>
    <w:rsid w:val="0048328A"/>
    <w:rsid w:val="00483ED3"/>
    <w:rsid w:val="00484377"/>
    <w:rsid w:val="00484A97"/>
    <w:rsid w:val="0048540D"/>
    <w:rsid w:val="00485B23"/>
    <w:rsid w:val="00485B50"/>
    <w:rsid w:val="00485D49"/>
    <w:rsid w:val="00485DF2"/>
    <w:rsid w:val="00486478"/>
    <w:rsid w:val="0048671B"/>
    <w:rsid w:val="00486B89"/>
    <w:rsid w:val="004874E4"/>
    <w:rsid w:val="004878DC"/>
    <w:rsid w:val="00487FBB"/>
    <w:rsid w:val="004905F6"/>
    <w:rsid w:val="00490688"/>
    <w:rsid w:val="0049070D"/>
    <w:rsid w:val="004907D4"/>
    <w:rsid w:val="00490A39"/>
    <w:rsid w:val="00490E82"/>
    <w:rsid w:val="00490F55"/>
    <w:rsid w:val="00491192"/>
    <w:rsid w:val="004918F3"/>
    <w:rsid w:val="00491BE4"/>
    <w:rsid w:val="00491DB2"/>
    <w:rsid w:val="0049206C"/>
    <w:rsid w:val="00492721"/>
    <w:rsid w:val="00492877"/>
    <w:rsid w:val="00492A93"/>
    <w:rsid w:val="00492E53"/>
    <w:rsid w:val="004930DD"/>
    <w:rsid w:val="00493659"/>
    <w:rsid w:val="0049418C"/>
    <w:rsid w:val="00494DB4"/>
    <w:rsid w:val="004950C5"/>
    <w:rsid w:val="0049573D"/>
    <w:rsid w:val="00495BA6"/>
    <w:rsid w:val="00495F33"/>
    <w:rsid w:val="0049688C"/>
    <w:rsid w:val="00496A5B"/>
    <w:rsid w:val="00496DC2"/>
    <w:rsid w:val="00496E75"/>
    <w:rsid w:val="004A014C"/>
    <w:rsid w:val="004A0AA8"/>
    <w:rsid w:val="004A1345"/>
    <w:rsid w:val="004A1BA8"/>
    <w:rsid w:val="004A1FE4"/>
    <w:rsid w:val="004A2103"/>
    <w:rsid w:val="004A2A91"/>
    <w:rsid w:val="004A2CA9"/>
    <w:rsid w:val="004A2DF8"/>
    <w:rsid w:val="004A2F9C"/>
    <w:rsid w:val="004A3064"/>
    <w:rsid w:val="004A33EF"/>
    <w:rsid w:val="004A34C9"/>
    <w:rsid w:val="004A351E"/>
    <w:rsid w:val="004A3949"/>
    <w:rsid w:val="004A3CB5"/>
    <w:rsid w:val="004A49D4"/>
    <w:rsid w:val="004A537D"/>
    <w:rsid w:val="004A6009"/>
    <w:rsid w:val="004A65B3"/>
    <w:rsid w:val="004A67F0"/>
    <w:rsid w:val="004A71C3"/>
    <w:rsid w:val="004A71D5"/>
    <w:rsid w:val="004A724E"/>
    <w:rsid w:val="004A7279"/>
    <w:rsid w:val="004A7769"/>
    <w:rsid w:val="004A77B1"/>
    <w:rsid w:val="004B0E03"/>
    <w:rsid w:val="004B1431"/>
    <w:rsid w:val="004B1C6E"/>
    <w:rsid w:val="004B1DF7"/>
    <w:rsid w:val="004B23AD"/>
    <w:rsid w:val="004B2965"/>
    <w:rsid w:val="004B29F6"/>
    <w:rsid w:val="004B3254"/>
    <w:rsid w:val="004B3265"/>
    <w:rsid w:val="004B3545"/>
    <w:rsid w:val="004B3FD8"/>
    <w:rsid w:val="004B4224"/>
    <w:rsid w:val="004B4297"/>
    <w:rsid w:val="004B4647"/>
    <w:rsid w:val="004B4952"/>
    <w:rsid w:val="004B68AF"/>
    <w:rsid w:val="004B6B25"/>
    <w:rsid w:val="004B7455"/>
    <w:rsid w:val="004B74FF"/>
    <w:rsid w:val="004B7CE4"/>
    <w:rsid w:val="004C0161"/>
    <w:rsid w:val="004C0401"/>
    <w:rsid w:val="004C08D1"/>
    <w:rsid w:val="004C0B5F"/>
    <w:rsid w:val="004C0C49"/>
    <w:rsid w:val="004C1096"/>
    <w:rsid w:val="004C1167"/>
    <w:rsid w:val="004C183D"/>
    <w:rsid w:val="004C243E"/>
    <w:rsid w:val="004C30D5"/>
    <w:rsid w:val="004C31D2"/>
    <w:rsid w:val="004C394F"/>
    <w:rsid w:val="004C3EB1"/>
    <w:rsid w:val="004C3EC7"/>
    <w:rsid w:val="004C3EEE"/>
    <w:rsid w:val="004C3FAF"/>
    <w:rsid w:val="004C483D"/>
    <w:rsid w:val="004C49EA"/>
    <w:rsid w:val="004C4C13"/>
    <w:rsid w:val="004C4D15"/>
    <w:rsid w:val="004C4E4F"/>
    <w:rsid w:val="004C54AA"/>
    <w:rsid w:val="004C5A56"/>
    <w:rsid w:val="004C61B0"/>
    <w:rsid w:val="004C64A5"/>
    <w:rsid w:val="004C6564"/>
    <w:rsid w:val="004C6957"/>
    <w:rsid w:val="004C6A47"/>
    <w:rsid w:val="004C6DA5"/>
    <w:rsid w:val="004C6DBC"/>
    <w:rsid w:val="004C74F0"/>
    <w:rsid w:val="004C795A"/>
    <w:rsid w:val="004C7F93"/>
    <w:rsid w:val="004D045F"/>
    <w:rsid w:val="004D09A2"/>
    <w:rsid w:val="004D0AD8"/>
    <w:rsid w:val="004D1A89"/>
    <w:rsid w:val="004D1BC1"/>
    <w:rsid w:val="004D2629"/>
    <w:rsid w:val="004D26B8"/>
    <w:rsid w:val="004D2825"/>
    <w:rsid w:val="004D2C2C"/>
    <w:rsid w:val="004D2DF9"/>
    <w:rsid w:val="004D3497"/>
    <w:rsid w:val="004D38C2"/>
    <w:rsid w:val="004D3A0B"/>
    <w:rsid w:val="004D3DC9"/>
    <w:rsid w:val="004D3E6B"/>
    <w:rsid w:val="004D3EE8"/>
    <w:rsid w:val="004D41DC"/>
    <w:rsid w:val="004D462A"/>
    <w:rsid w:val="004D4FBD"/>
    <w:rsid w:val="004D4FC0"/>
    <w:rsid w:val="004D5CE7"/>
    <w:rsid w:val="004D621A"/>
    <w:rsid w:val="004D6381"/>
    <w:rsid w:val="004D6DB2"/>
    <w:rsid w:val="004D7DA8"/>
    <w:rsid w:val="004D7FCA"/>
    <w:rsid w:val="004E10CD"/>
    <w:rsid w:val="004E1145"/>
    <w:rsid w:val="004E11FC"/>
    <w:rsid w:val="004E1401"/>
    <w:rsid w:val="004E152E"/>
    <w:rsid w:val="004E2892"/>
    <w:rsid w:val="004E362B"/>
    <w:rsid w:val="004E3681"/>
    <w:rsid w:val="004E3D74"/>
    <w:rsid w:val="004E3F4E"/>
    <w:rsid w:val="004E56BC"/>
    <w:rsid w:val="004E5DE1"/>
    <w:rsid w:val="004E5F74"/>
    <w:rsid w:val="004E6108"/>
    <w:rsid w:val="004E6112"/>
    <w:rsid w:val="004E66EA"/>
    <w:rsid w:val="004E7178"/>
    <w:rsid w:val="004E71C3"/>
    <w:rsid w:val="004E77E5"/>
    <w:rsid w:val="004E784B"/>
    <w:rsid w:val="004E79AD"/>
    <w:rsid w:val="004E7C09"/>
    <w:rsid w:val="004E7E1F"/>
    <w:rsid w:val="004F0224"/>
    <w:rsid w:val="004F0A73"/>
    <w:rsid w:val="004F0BDD"/>
    <w:rsid w:val="004F0D45"/>
    <w:rsid w:val="004F0DB4"/>
    <w:rsid w:val="004F0E04"/>
    <w:rsid w:val="004F13B3"/>
    <w:rsid w:val="004F1CD3"/>
    <w:rsid w:val="004F1EBC"/>
    <w:rsid w:val="004F20E8"/>
    <w:rsid w:val="004F2576"/>
    <w:rsid w:val="004F29CC"/>
    <w:rsid w:val="004F3172"/>
    <w:rsid w:val="004F3A11"/>
    <w:rsid w:val="004F3B71"/>
    <w:rsid w:val="004F3FE5"/>
    <w:rsid w:val="004F512D"/>
    <w:rsid w:val="004F5154"/>
    <w:rsid w:val="004F52B3"/>
    <w:rsid w:val="004F5835"/>
    <w:rsid w:val="004F661C"/>
    <w:rsid w:val="004F6754"/>
    <w:rsid w:val="004F6D99"/>
    <w:rsid w:val="00500572"/>
    <w:rsid w:val="00500573"/>
    <w:rsid w:val="00500701"/>
    <w:rsid w:val="00500AE7"/>
    <w:rsid w:val="00501304"/>
    <w:rsid w:val="00501425"/>
    <w:rsid w:val="005014E5"/>
    <w:rsid w:val="00501707"/>
    <w:rsid w:val="00502050"/>
    <w:rsid w:val="0050318B"/>
    <w:rsid w:val="00503C87"/>
    <w:rsid w:val="00503CF2"/>
    <w:rsid w:val="0050407C"/>
    <w:rsid w:val="00504311"/>
    <w:rsid w:val="0050453E"/>
    <w:rsid w:val="0050485C"/>
    <w:rsid w:val="00504AC6"/>
    <w:rsid w:val="00504D75"/>
    <w:rsid w:val="005053A9"/>
    <w:rsid w:val="00505D51"/>
    <w:rsid w:val="00506356"/>
    <w:rsid w:val="00506498"/>
    <w:rsid w:val="005065AC"/>
    <w:rsid w:val="0050682E"/>
    <w:rsid w:val="00506845"/>
    <w:rsid w:val="00506ABD"/>
    <w:rsid w:val="00506D8A"/>
    <w:rsid w:val="00507204"/>
    <w:rsid w:val="005074D8"/>
    <w:rsid w:val="00507707"/>
    <w:rsid w:val="00507B7A"/>
    <w:rsid w:val="005103C9"/>
    <w:rsid w:val="00510873"/>
    <w:rsid w:val="00510ABC"/>
    <w:rsid w:val="00511079"/>
    <w:rsid w:val="00511411"/>
    <w:rsid w:val="00511CDF"/>
    <w:rsid w:val="00511E7D"/>
    <w:rsid w:val="005126FB"/>
    <w:rsid w:val="00512829"/>
    <w:rsid w:val="00512E97"/>
    <w:rsid w:val="005134D0"/>
    <w:rsid w:val="005135FA"/>
    <w:rsid w:val="00513839"/>
    <w:rsid w:val="00513DEF"/>
    <w:rsid w:val="00513E72"/>
    <w:rsid w:val="00513FC8"/>
    <w:rsid w:val="0051423C"/>
    <w:rsid w:val="0051476D"/>
    <w:rsid w:val="005148D4"/>
    <w:rsid w:val="00514C91"/>
    <w:rsid w:val="00514FAA"/>
    <w:rsid w:val="0051510B"/>
    <w:rsid w:val="005153CE"/>
    <w:rsid w:val="00515D5F"/>
    <w:rsid w:val="00516241"/>
    <w:rsid w:val="005162CE"/>
    <w:rsid w:val="00516406"/>
    <w:rsid w:val="005166F9"/>
    <w:rsid w:val="00516AF4"/>
    <w:rsid w:val="00516FD9"/>
    <w:rsid w:val="0051701F"/>
    <w:rsid w:val="00517194"/>
    <w:rsid w:val="005173C1"/>
    <w:rsid w:val="0051791D"/>
    <w:rsid w:val="00520628"/>
    <w:rsid w:val="00520939"/>
    <w:rsid w:val="00520D6D"/>
    <w:rsid w:val="00520FD7"/>
    <w:rsid w:val="005212B3"/>
    <w:rsid w:val="005212FD"/>
    <w:rsid w:val="00521425"/>
    <w:rsid w:val="00521669"/>
    <w:rsid w:val="00521928"/>
    <w:rsid w:val="00522035"/>
    <w:rsid w:val="00522747"/>
    <w:rsid w:val="00523130"/>
    <w:rsid w:val="00523264"/>
    <w:rsid w:val="00523632"/>
    <w:rsid w:val="00523E75"/>
    <w:rsid w:val="005243E0"/>
    <w:rsid w:val="00524DAF"/>
    <w:rsid w:val="00525692"/>
    <w:rsid w:val="005256F3"/>
    <w:rsid w:val="00525717"/>
    <w:rsid w:val="0052600E"/>
    <w:rsid w:val="0052628F"/>
    <w:rsid w:val="005265A3"/>
    <w:rsid w:val="00526783"/>
    <w:rsid w:val="005269BC"/>
    <w:rsid w:val="00527276"/>
    <w:rsid w:val="0052773A"/>
    <w:rsid w:val="00527FB1"/>
    <w:rsid w:val="00530423"/>
    <w:rsid w:val="00530949"/>
    <w:rsid w:val="0053107E"/>
    <w:rsid w:val="005312CB"/>
    <w:rsid w:val="00531420"/>
    <w:rsid w:val="0053162F"/>
    <w:rsid w:val="00531777"/>
    <w:rsid w:val="00531BE6"/>
    <w:rsid w:val="0053217B"/>
    <w:rsid w:val="00532675"/>
    <w:rsid w:val="0053281C"/>
    <w:rsid w:val="00532AD0"/>
    <w:rsid w:val="0053311D"/>
    <w:rsid w:val="00533B93"/>
    <w:rsid w:val="005340C9"/>
    <w:rsid w:val="0053413B"/>
    <w:rsid w:val="00534405"/>
    <w:rsid w:val="0053444E"/>
    <w:rsid w:val="0053445C"/>
    <w:rsid w:val="00535538"/>
    <w:rsid w:val="00535BA8"/>
    <w:rsid w:val="00535E88"/>
    <w:rsid w:val="00536698"/>
    <w:rsid w:val="005366E7"/>
    <w:rsid w:val="0053742F"/>
    <w:rsid w:val="005375FE"/>
    <w:rsid w:val="00537EA2"/>
    <w:rsid w:val="00537F11"/>
    <w:rsid w:val="00540182"/>
    <w:rsid w:val="00540BFC"/>
    <w:rsid w:val="00541877"/>
    <w:rsid w:val="0054195A"/>
    <w:rsid w:val="005420DE"/>
    <w:rsid w:val="00542249"/>
    <w:rsid w:val="00542FAA"/>
    <w:rsid w:val="005431F5"/>
    <w:rsid w:val="00543707"/>
    <w:rsid w:val="005439D2"/>
    <w:rsid w:val="00543CC7"/>
    <w:rsid w:val="00543EBB"/>
    <w:rsid w:val="00544213"/>
    <w:rsid w:val="005444E8"/>
    <w:rsid w:val="0054486D"/>
    <w:rsid w:val="00544D6E"/>
    <w:rsid w:val="00544DB4"/>
    <w:rsid w:val="0054521C"/>
    <w:rsid w:val="005453CB"/>
    <w:rsid w:val="005453F3"/>
    <w:rsid w:val="00545549"/>
    <w:rsid w:val="005462C0"/>
    <w:rsid w:val="00546572"/>
    <w:rsid w:val="005469F5"/>
    <w:rsid w:val="00546F36"/>
    <w:rsid w:val="0055017B"/>
    <w:rsid w:val="00550AFC"/>
    <w:rsid w:val="005518ED"/>
    <w:rsid w:val="00551AE6"/>
    <w:rsid w:val="00552093"/>
    <w:rsid w:val="005528A0"/>
    <w:rsid w:val="00552D0F"/>
    <w:rsid w:val="00552E64"/>
    <w:rsid w:val="005530AC"/>
    <w:rsid w:val="00553E9D"/>
    <w:rsid w:val="00553FE1"/>
    <w:rsid w:val="00554A75"/>
    <w:rsid w:val="00554C49"/>
    <w:rsid w:val="00554E06"/>
    <w:rsid w:val="00554E4B"/>
    <w:rsid w:val="00554F00"/>
    <w:rsid w:val="0055519C"/>
    <w:rsid w:val="005554C1"/>
    <w:rsid w:val="0055583F"/>
    <w:rsid w:val="00555F67"/>
    <w:rsid w:val="00556E32"/>
    <w:rsid w:val="00556FBA"/>
    <w:rsid w:val="0055719E"/>
    <w:rsid w:val="005602F2"/>
    <w:rsid w:val="00560353"/>
    <w:rsid w:val="005604F1"/>
    <w:rsid w:val="005606A4"/>
    <w:rsid w:val="0056079F"/>
    <w:rsid w:val="005607B8"/>
    <w:rsid w:val="00560CF5"/>
    <w:rsid w:val="0056137E"/>
    <w:rsid w:val="00562581"/>
    <w:rsid w:val="005625FE"/>
    <w:rsid w:val="0056272D"/>
    <w:rsid w:val="00562BAB"/>
    <w:rsid w:val="00563047"/>
    <w:rsid w:val="0056308E"/>
    <w:rsid w:val="005633D2"/>
    <w:rsid w:val="005638C1"/>
    <w:rsid w:val="00563C81"/>
    <w:rsid w:val="00563F16"/>
    <w:rsid w:val="0056415C"/>
    <w:rsid w:val="005642C8"/>
    <w:rsid w:val="005649BF"/>
    <w:rsid w:val="00564DAE"/>
    <w:rsid w:val="00564F7B"/>
    <w:rsid w:val="005650BC"/>
    <w:rsid w:val="005650ED"/>
    <w:rsid w:val="005655FD"/>
    <w:rsid w:val="00565869"/>
    <w:rsid w:val="00567415"/>
    <w:rsid w:val="0056751F"/>
    <w:rsid w:val="00567610"/>
    <w:rsid w:val="00570342"/>
    <w:rsid w:val="00570CFD"/>
    <w:rsid w:val="00570D9F"/>
    <w:rsid w:val="00571672"/>
    <w:rsid w:val="0057185C"/>
    <w:rsid w:val="00571CA8"/>
    <w:rsid w:val="00572947"/>
    <w:rsid w:val="00573138"/>
    <w:rsid w:val="0057322B"/>
    <w:rsid w:val="005734A7"/>
    <w:rsid w:val="00574317"/>
    <w:rsid w:val="005746C4"/>
    <w:rsid w:val="00574891"/>
    <w:rsid w:val="00574B50"/>
    <w:rsid w:val="005753E3"/>
    <w:rsid w:val="005756BA"/>
    <w:rsid w:val="00575A87"/>
    <w:rsid w:val="00576294"/>
    <w:rsid w:val="00576F26"/>
    <w:rsid w:val="005773BE"/>
    <w:rsid w:val="00577835"/>
    <w:rsid w:val="00577DA3"/>
    <w:rsid w:val="0058041B"/>
    <w:rsid w:val="00580793"/>
    <w:rsid w:val="00581470"/>
    <w:rsid w:val="00581B62"/>
    <w:rsid w:val="00581BAD"/>
    <w:rsid w:val="00581BCB"/>
    <w:rsid w:val="00581D62"/>
    <w:rsid w:val="00582087"/>
    <w:rsid w:val="0058228A"/>
    <w:rsid w:val="005822FC"/>
    <w:rsid w:val="00582D5F"/>
    <w:rsid w:val="00582F21"/>
    <w:rsid w:val="005831DD"/>
    <w:rsid w:val="00583DC5"/>
    <w:rsid w:val="00584320"/>
    <w:rsid w:val="00584AAD"/>
    <w:rsid w:val="00584CB8"/>
    <w:rsid w:val="00585292"/>
    <w:rsid w:val="00585484"/>
    <w:rsid w:val="00585800"/>
    <w:rsid w:val="00585C2F"/>
    <w:rsid w:val="0058624A"/>
    <w:rsid w:val="00586EB1"/>
    <w:rsid w:val="00587229"/>
    <w:rsid w:val="00587503"/>
    <w:rsid w:val="005878EF"/>
    <w:rsid w:val="00587F7F"/>
    <w:rsid w:val="0059016A"/>
    <w:rsid w:val="005907FD"/>
    <w:rsid w:val="00590E8D"/>
    <w:rsid w:val="00590FAC"/>
    <w:rsid w:val="00591400"/>
    <w:rsid w:val="00591511"/>
    <w:rsid w:val="00591C6E"/>
    <w:rsid w:val="00591E50"/>
    <w:rsid w:val="0059203B"/>
    <w:rsid w:val="00592CDA"/>
    <w:rsid w:val="00592F90"/>
    <w:rsid w:val="0059331A"/>
    <w:rsid w:val="00593A72"/>
    <w:rsid w:val="0059465F"/>
    <w:rsid w:val="00594BE0"/>
    <w:rsid w:val="00594D2A"/>
    <w:rsid w:val="00595A8C"/>
    <w:rsid w:val="00595C2C"/>
    <w:rsid w:val="0059606E"/>
    <w:rsid w:val="005964C1"/>
    <w:rsid w:val="00596BBA"/>
    <w:rsid w:val="00596F32"/>
    <w:rsid w:val="00597386"/>
    <w:rsid w:val="005975C4"/>
    <w:rsid w:val="00597ED8"/>
    <w:rsid w:val="005A07CF"/>
    <w:rsid w:val="005A17AE"/>
    <w:rsid w:val="005A1881"/>
    <w:rsid w:val="005A1A86"/>
    <w:rsid w:val="005A23A8"/>
    <w:rsid w:val="005A2B20"/>
    <w:rsid w:val="005A2FFE"/>
    <w:rsid w:val="005A34D5"/>
    <w:rsid w:val="005A3943"/>
    <w:rsid w:val="005A3ED0"/>
    <w:rsid w:val="005A422E"/>
    <w:rsid w:val="005A4904"/>
    <w:rsid w:val="005A4910"/>
    <w:rsid w:val="005A515A"/>
    <w:rsid w:val="005A5194"/>
    <w:rsid w:val="005A57CB"/>
    <w:rsid w:val="005A5C8E"/>
    <w:rsid w:val="005A6D44"/>
    <w:rsid w:val="005A704D"/>
    <w:rsid w:val="005A7B68"/>
    <w:rsid w:val="005A7EB4"/>
    <w:rsid w:val="005A7F7E"/>
    <w:rsid w:val="005B0B7D"/>
    <w:rsid w:val="005B0EBD"/>
    <w:rsid w:val="005B0EEB"/>
    <w:rsid w:val="005B1528"/>
    <w:rsid w:val="005B268C"/>
    <w:rsid w:val="005B2DD3"/>
    <w:rsid w:val="005B3012"/>
    <w:rsid w:val="005B3C6D"/>
    <w:rsid w:val="005B4045"/>
    <w:rsid w:val="005B4240"/>
    <w:rsid w:val="005B50FF"/>
    <w:rsid w:val="005B609E"/>
    <w:rsid w:val="005B6483"/>
    <w:rsid w:val="005B6DF6"/>
    <w:rsid w:val="005B7B7D"/>
    <w:rsid w:val="005B7E11"/>
    <w:rsid w:val="005C0D89"/>
    <w:rsid w:val="005C1948"/>
    <w:rsid w:val="005C22F9"/>
    <w:rsid w:val="005C263C"/>
    <w:rsid w:val="005C2679"/>
    <w:rsid w:val="005C27B6"/>
    <w:rsid w:val="005C298C"/>
    <w:rsid w:val="005C2C8C"/>
    <w:rsid w:val="005C4610"/>
    <w:rsid w:val="005C4BFB"/>
    <w:rsid w:val="005C5169"/>
    <w:rsid w:val="005C5623"/>
    <w:rsid w:val="005C5870"/>
    <w:rsid w:val="005C63DA"/>
    <w:rsid w:val="005C6F13"/>
    <w:rsid w:val="005C6F59"/>
    <w:rsid w:val="005C714E"/>
    <w:rsid w:val="005D03B6"/>
    <w:rsid w:val="005D059A"/>
    <w:rsid w:val="005D07C5"/>
    <w:rsid w:val="005D088D"/>
    <w:rsid w:val="005D14F6"/>
    <w:rsid w:val="005D21B7"/>
    <w:rsid w:val="005D2AB4"/>
    <w:rsid w:val="005D2DAD"/>
    <w:rsid w:val="005D4302"/>
    <w:rsid w:val="005D4C8D"/>
    <w:rsid w:val="005D50F9"/>
    <w:rsid w:val="005D5A20"/>
    <w:rsid w:val="005D5B21"/>
    <w:rsid w:val="005D664D"/>
    <w:rsid w:val="005D6DA1"/>
    <w:rsid w:val="005D701D"/>
    <w:rsid w:val="005D786C"/>
    <w:rsid w:val="005E00E5"/>
    <w:rsid w:val="005E0148"/>
    <w:rsid w:val="005E0225"/>
    <w:rsid w:val="005E049F"/>
    <w:rsid w:val="005E0BB6"/>
    <w:rsid w:val="005E0BD3"/>
    <w:rsid w:val="005E1737"/>
    <w:rsid w:val="005E28A5"/>
    <w:rsid w:val="005E2C24"/>
    <w:rsid w:val="005E2E4A"/>
    <w:rsid w:val="005E3073"/>
    <w:rsid w:val="005E316A"/>
    <w:rsid w:val="005E3A04"/>
    <w:rsid w:val="005E4B83"/>
    <w:rsid w:val="005E5765"/>
    <w:rsid w:val="005E6890"/>
    <w:rsid w:val="005E7088"/>
    <w:rsid w:val="005E72E8"/>
    <w:rsid w:val="005E7E1B"/>
    <w:rsid w:val="005F0108"/>
    <w:rsid w:val="005F0291"/>
    <w:rsid w:val="005F095E"/>
    <w:rsid w:val="005F0B7F"/>
    <w:rsid w:val="005F0ECC"/>
    <w:rsid w:val="005F1737"/>
    <w:rsid w:val="005F2012"/>
    <w:rsid w:val="005F21A5"/>
    <w:rsid w:val="005F2470"/>
    <w:rsid w:val="005F28C6"/>
    <w:rsid w:val="005F2B13"/>
    <w:rsid w:val="005F2B27"/>
    <w:rsid w:val="005F2CB0"/>
    <w:rsid w:val="005F3195"/>
    <w:rsid w:val="005F3E00"/>
    <w:rsid w:val="005F3F16"/>
    <w:rsid w:val="005F41F0"/>
    <w:rsid w:val="005F4310"/>
    <w:rsid w:val="005F434D"/>
    <w:rsid w:val="005F4806"/>
    <w:rsid w:val="005F4C87"/>
    <w:rsid w:val="005F4E0A"/>
    <w:rsid w:val="005F4EE1"/>
    <w:rsid w:val="005F4EEA"/>
    <w:rsid w:val="005F52CC"/>
    <w:rsid w:val="005F5E6F"/>
    <w:rsid w:val="005F5F16"/>
    <w:rsid w:val="005F6510"/>
    <w:rsid w:val="005F653C"/>
    <w:rsid w:val="005F681C"/>
    <w:rsid w:val="005F6BD4"/>
    <w:rsid w:val="005F6F88"/>
    <w:rsid w:val="005F7188"/>
    <w:rsid w:val="005F7985"/>
    <w:rsid w:val="005F7AEB"/>
    <w:rsid w:val="00600CEB"/>
    <w:rsid w:val="00601366"/>
    <w:rsid w:val="00601FB8"/>
    <w:rsid w:val="00602058"/>
    <w:rsid w:val="00602A48"/>
    <w:rsid w:val="00602A78"/>
    <w:rsid w:val="00602A84"/>
    <w:rsid w:val="00602AA1"/>
    <w:rsid w:val="00602DC4"/>
    <w:rsid w:val="00603123"/>
    <w:rsid w:val="006036F4"/>
    <w:rsid w:val="00603A88"/>
    <w:rsid w:val="00604151"/>
    <w:rsid w:val="0060435F"/>
    <w:rsid w:val="00604367"/>
    <w:rsid w:val="006044BE"/>
    <w:rsid w:val="0060475F"/>
    <w:rsid w:val="006047DF"/>
    <w:rsid w:val="00604804"/>
    <w:rsid w:val="00604906"/>
    <w:rsid w:val="00604DE1"/>
    <w:rsid w:val="00604F41"/>
    <w:rsid w:val="006058D3"/>
    <w:rsid w:val="006060C2"/>
    <w:rsid w:val="00606A26"/>
    <w:rsid w:val="00606D5F"/>
    <w:rsid w:val="00607218"/>
    <w:rsid w:val="00607AC7"/>
    <w:rsid w:val="00607C07"/>
    <w:rsid w:val="00607D81"/>
    <w:rsid w:val="00610747"/>
    <w:rsid w:val="00610B77"/>
    <w:rsid w:val="00610E03"/>
    <w:rsid w:val="00611317"/>
    <w:rsid w:val="0061176E"/>
    <w:rsid w:val="00611E0A"/>
    <w:rsid w:val="00612261"/>
    <w:rsid w:val="006136ED"/>
    <w:rsid w:val="00613DF7"/>
    <w:rsid w:val="00613EA5"/>
    <w:rsid w:val="006142B8"/>
    <w:rsid w:val="00614CD1"/>
    <w:rsid w:val="006151F2"/>
    <w:rsid w:val="0061567B"/>
    <w:rsid w:val="00615AC8"/>
    <w:rsid w:val="006169FE"/>
    <w:rsid w:val="00616EA5"/>
    <w:rsid w:val="00617026"/>
    <w:rsid w:val="006176C5"/>
    <w:rsid w:val="006200AB"/>
    <w:rsid w:val="00620B92"/>
    <w:rsid w:val="00620D97"/>
    <w:rsid w:val="00621378"/>
    <w:rsid w:val="0062152A"/>
    <w:rsid w:val="00621753"/>
    <w:rsid w:val="00622E8D"/>
    <w:rsid w:val="00623583"/>
    <w:rsid w:val="0062385C"/>
    <w:rsid w:val="00624572"/>
    <w:rsid w:val="0062462F"/>
    <w:rsid w:val="00624BA1"/>
    <w:rsid w:val="00624CA9"/>
    <w:rsid w:val="00625EC5"/>
    <w:rsid w:val="006264CB"/>
    <w:rsid w:val="0062661B"/>
    <w:rsid w:val="0062669B"/>
    <w:rsid w:val="006266B2"/>
    <w:rsid w:val="0062714C"/>
    <w:rsid w:val="006275F5"/>
    <w:rsid w:val="00627832"/>
    <w:rsid w:val="00627FE3"/>
    <w:rsid w:val="00630118"/>
    <w:rsid w:val="00630514"/>
    <w:rsid w:val="006310AE"/>
    <w:rsid w:val="00631467"/>
    <w:rsid w:val="00631762"/>
    <w:rsid w:val="00632196"/>
    <w:rsid w:val="00632900"/>
    <w:rsid w:val="00632BA2"/>
    <w:rsid w:val="00632DAD"/>
    <w:rsid w:val="00632F70"/>
    <w:rsid w:val="0063314C"/>
    <w:rsid w:val="00633BF2"/>
    <w:rsid w:val="00633F16"/>
    <w:rsid w:val="00633F67"/>
    <w:rsid w:val="006345C3"/>
    <w:rsid w:val="0063488F"/>
    <w:rsid w:val="00634FD5"/>
    <w:rsid w:val="0063520D"/>
    <w:rsid w:val="006352A6"/>
    <w:rsid w:val="0063530F"/>
    <w:rsid w:val="00635781"/>
    <w:rsid w:val="006362F9"/>
    <w:rsid w:val="006364EE"/>
    <w:rsid w:val="006369A9"/>
    <w:rsid w:val="006373CD"/>
    <w:rsid w:val="00637B7A"/>
    <w:rsid w:val="00637C99"/>
    <w:rsid w:val="00641283"/>
    <w:rsid w:val="006413CF"/>
    <w:rsid w:val="00641413"/>
    <w:rsid w:val="00641465"/>
    <w:rsid w:val="00641536"/>
    <w:rsid w:val="0064165D"/>
    <w:rsid w:val="00642084"/>
    <w:rsid w:val="00642237"/>
    <w:rsid w:val="00642E77"/>
    <w:rsid w:val="00642E8C"/>
    <w:rsid w:val="006433BD"/>
    <w:rsid w:val="00643562"/>
    <w:rsid w:val="00643784"/>
    <w:rsid w:val="00643B56"/>
    <w:rsid w:val="00644186"/>
    <w:rsid w:val="00644623"/>
    <w:rsid w:val="00644A21"/>
    <w:rsid w:val="00645C9F"/>
    <w:rsid w:val="00646305"/>
    <w:rsid w:val="00646353"/>
    <w:rsid w:val="0064670A"/>
    <w:rsid w:val="00646864"/>
    <w:rsid w:val="00646A6C"/>
    <w:rsid w:val="006475E6"/>
    <w:rsid w:val="00647E22"/>
    <w:rsid w:val="006508B9"/>
    <w:rsid w:val="00650B2E"/>
    <w:rsid w:val="00650CA1"/>
    <w:rsid w:val="006511FC"/>
    <w:rsid w:val="0065143C"/>
    <w:rsid w:val="00651854"/>
    <w:rsid w:val="00652026"/>
    <w:rsid w:val="00652578"/>
    <w:rsid w:val="0065346A"/>
    <w:rsid w:val="00653691"/>
    <w:rsid w:val="006539E8"/>
    <w:rsid w:val="006541DF"/>
    <w:rsid w:val="00655728"/>
    <w:rsid w:val="00655C17"/>
    <w:rsid w:val="00656307"/>
    <w:rsid w:val="006565D8"/>
    <w:rsid w:val="00656B96"/>
    <w:rsid w:val="00656BA0"/>
    <w:rsid w:val="00656F79"/>
    <w:rsid w:val="00656FC9"/>
    <w:rsid w:val="006570EB"/>
    <w:rsid w:val="0065736B"/>
    <w:rsid w:val="006578E4"/>
    <w:rsid w:val="00657AE5"/>
    <w:rsid w:val="00657C05"/>
    <w:rsid w:val="00661544"/>
    <w:rsid w:val="0066161B"/>
    <w:rsid w:val="00661841"/>
    <w:rsid w:val="006619B0"/>
    <w:rsid w:val="006619C5"/>
    <w:rsid w:val="00662012"/>
    <w:rsid w:val="00662543"/>
    <w:rsid w:val="006626D0"/>
    <w:rsid w:val="006628BF"/>
    <w:rsid w:val="006628E9"/>
    <w:rsid w:val="006635BC"/>
    <w:rsid w:val="006635DA"/>
    <w:rsid w:val="00663703"/>
    <w:rsid w:val="00663887"/>
    <w:rsid w:val="006641F4"/>
    <w:rsid w:val="00664234"/>
    <w:rsid w:val="00664E8C"/>
    <w:rsid w:val="0066501B"/>
    <w:rsid w:val="00665E2C"/>
    <w:rsid w:val="00665F7C"/>
    <w:rsid w:val="0066699A"/>
    <w:rsid w:val="006669DE"/>
    <w:rsid w:val="006669DF"/>
    <w:rsid w:val="00666DFC"/>
    <w:rsid w:val="00666EBB"/>
    <w:rsid w:val="00667325"/>
    <w:rsid w:val="006673F1"/>
    <w:rsid w:val="0066779E"/>
    <w:rsid w:val="00667F3C"/>
    <w:rsid w:val="00667FAF"/>
    <w:rsid w:val="0067096D"/>
    <w:rsid w:val="00670AF4"/>
    <w:rsid w:val="00670EC4"/>
    <w:rsid w:val="00671093"/>
    <w:rsid w:val="006719E0"/>
    <w:rsid w:val="00671F92"/>
    <w:rsid w:val="0067269D"/>
    <w:rsid w:val="00672988"/>
    <w:rsid w:val="00672C64"/>
    <w:rsid w:val="006735C6"/>
    <w:rsid w:val="00673CF8"/>
    <w:rsid w:val="0067446F"/>
    <w:rsid w:val="006746D2"/>
    <w:rsid w:val="00674A45"/>
    <w:rsid w:val="00674D5E"/>
    <w:rsid w:val="00674E6A"/>
    <w:rsid w:val="00675453"/>
    <w:rsid w:val="00675719"/>
    <w:rsid w:val="00675CF4"/>
    <w:rsid w:val="00675EB7"/>
    <w:rsid w:val="006763CC"/>
    <w:rsid w:val="006765CB"/>
    <w:rsid w:val="00676A64"/>
    <w:rsid w:val="00677925"/>
    <w:rsid w:val="006779BF"/>
    <w:rsid w:val="00677F44"/>
    <w:rsid w:val="00680231"/>
    <w:rsid w:val="00680462"/>
    <w:rsid w:val="0068076E"/>
    <w:rsid w:val="00680F46"/>
    <w:rsid w:val="006812FB"/>
    <w:rsid w:val="00681BC4"/>
    <w:rsid w:val="00681FDC"/>
    <w:rsid w:val="00682B53"/>
    <w:rsid w:val="00682C2D"/>
    <w:rsid w:val="00682F27"/>
    <w:rsid w:val="00683CFD"/>
    <w:rsid w:val="0068452A"/>
    <w:rsid w:val="00684672"/>
    <w:rsid w:val="00684A34"/>
    <w:rsid w:val="006859DB"/>
    <w:rsid w:val="0068678D"/>
    <w:rsid w:val="00686D66"/>
    <w:rsid w:val="00687399"/>
    <w:rsid w:val="00687488"/>
    <w:rsid w:val="0068782A"/>
    <w:rsid w:val="00690189"/>
    <w:rsid w:val="006904ED"/>
    <w:rsid w:val="00690E2E"/>
    <w:rsid w:val="00691365"/>
    <w:rsid w:val="006915D7"/>
    <w:rsid w:val="00691912"/>
    <w:rsid w:val="00691E9F"/>
    <w:rsid w:val="006926A6"/>
    <w:rsid w:val="00692814"/>
    <w:rsid w:val="006932E7"/>
    <w:rsid w:val="00693347"/>
    <w:rsid w:val="0069334C"/>
    <w:rsid w:val="00693739"/>
    <w:rsid w:val="00693DE7"/>
    <w:rsid w:val="006948EF"/>
    <w:rsid w:val="00694E63"/>
    <w:rsid w:val="00694F1B"/>
    <w:rsid w:val="00695049"/>
    <w:rsid w:val="00695077"/>
    <w:rsid w:val="006955DF"/>
    <w:rsid w:val="006960B2"/>
    <w:rsid w:val="00696212"/>
    <w:rsid w:val="006965E2"/>
    <w:rsid w:val="00696D63"/>
    <w:rsid w:val="00696EE4"/>
    <w:rsid w:val="006A026F"/>
    <w:rsid w:val="006A032F"/>
    <w:rsid w:val="006A0A36"/>
    <w:rsid w:val="006A0C46"/>
    <w:rsid w:val="006A0DD3"/>
    <w:rsid w:val="006A111F"/>
    <w:rsid w:val="006A1135"/>
    <w:rsid w:val="006A146E"/>
    <w:rsid w:val="006A1967"/>
    <w:rsid w:val="006A1AD9"/>
    <w:rsid w:val="006A1BEB"/>
    <w:rsid w:val="006A1ECF"/>
    <w:rsid w:val="006A23C0"/>
    <w:rsid w:val="006A3022"/>
    <w:rsid w:val="006A3052"/>
    <w:rsid w:val="006A37E6"/>
    <w:rsid w:val="006A41AE"/>
    <w:rsid w:val="006A4856"/>
    <w:rsid w:val="006A5474"/>
    <w:rsid w:val="006A564B"/>
    <w:rsid w:val="006A5D15"/>
    <w:rsid w:val="006B02AF"/>
    <w:rsid w:val="006B02E8"/>
    <w:rsid w:val="006B05B5"/>
    <w:rsid w:val="006B0EE6"/>
    <w:rsid w:val="006B1545"/>
    <w:rsid w:val="006B23B9"/>
    <w:rsid w:val="006B2A07"/>
    <w:rsid w:val="006B2A63"/>
    <w:rsid w:val="006B2B11"/>
    <w:rsid w:val="006B2DA7"/>
    <w:rsid w:val="006B2F4D"/>
    <w:rsid w:val="006B306B"/>
    <w:rsid w:val="006B3682"/>
    <w:rsid w:val="006B3974"/>
    <w:rsid w:val="006B402E"/>
    <w:rsid w:val="006B48CB"/>
    <w:rsid w:val="006B5616"/>
    <w:rsid w:val="006B564D"/>
    <w:rsid w:val="006B5E94"/>
    <w:rsid w:val="006B61F6"/>
    <w:rsid w:val="006B6313"/>
    <w:rsid w:val="006B65A8"/>
    <w:rsid w:val="006B705A"/>
    <w:rsid w:val="006C0037"/>
    <w:rsid w:val="006C020D"/>
    <w:rsid w:val="006C13D8"/>
    <w:rsid w:val="006C1445"/>
    <w:rsid w:val="006C1DED"/>
    <w:rsid w:val="006C21C9"/>
    <w:rsid w:val="006C28FC"/>
    <w:rsid w:val="006C31C6"/>
    <w:rsid w:val="006C33FB"/>
    <w:rsid w:val="006C33FF"/>
    <w:rsid w:val="006C394E"/>
    <w:rsid w:val="006C3AB0"/>
    <w:rsid w:val="006C3F5E"/>
    <w:rsid w:val="006C4EEA"/>
    <w:rsid w:val="006C4EF3"/>
    <w:rsid w:val="006C4FC1"/>
    <w:rsid w:val="006C51A5"/>
    <w:rsid w:val="006C5237"/>
    <w:rsid w:val="006C529D"/>
    <w:rsid w:val="006C5D5B"/>
    <w:rsid w:val="006C6256"/>
    <w:rsid w:val="006C6642"/>
    <w:rsid w:val="006C6798"/>
    <w:rsid w:val="006C6DF7"/>
    <w:rsid w:val="006C75FC"/>
    <w:rsid w:val="006C79E4"/>
    <w:rsid w:val="006D019C"/>
    <w:rsid w:val="006D0630"/>
    <w:rsid w:val="006D0826"/>
    <w:rsid w:val="006D0B55"/>
    <w:rsid w:val="006D0C12"/>
    <w:rsid w:val="006D0E6B"/>
    <w:rsid w:val="006D1A4E"/>
    <w:rsid w:val="006D2146"/>
    <w:rsid w:val="006D2196"/>
    <w:rsid w:val="006D3141"/>
    <w:rsid w:val="006D32B0"/>
    <w:rsid w:val="006D4CBA"/>
    <w:rsid w:val="006D5DEC"/>
    <w:rsid w:val="006D632E"/>
    <w:rsid w:val="006D6C9C"/>
    <w:rsid w:val="006D6E8F"/>
    <w:rsid w:val="006E07B0"/>
    <w:rsid w:val="006E094A"/>
    <w:rsid w:val="006E0C20"/>
    <w:rsid w:val="006E0F6E"/>
    <w:rsid w:val="006E0F92"/>
    <w:rsid w:val="006E12B1"/>
    <w:rsid w:val="006E13D1"/>
    <w:rsid w:val="006E2204"/>
    <w:rsid w:val="006E24BE"/>
    <w:rsid w:val="006E2563"/>
    <w:rsid w:val="006E26AB"/>
    <w:rsid w:val="006E26D2"/>
    <w:rsid w:val="006E26DE"/>
    <w:rsid w:val="006E275D"/>
    <w:rsid w:val="006E3890"/>
    <w:rsid w:val="006E390C"/>
    <w:rsid w:val="006E3A7C"/>
    <w:rsid w:val="006E4D0C"/>
    <w:rsid w:val="006E4D1B"/>
    <w:rsid w:val="006E5534"/>
    <w:rsid w:val="006E5B18"/>
    <w:rsid w:val="006E5B78"/>
    <w:rsid w:val="006E62B4"/>
    <w:rsid w:val="006E67BA"/>
    <w:rsid w:val="006E699D"/>
    <w:rsid w:val="006E6BA3"/>
    <w:rsid w:val="006E6D3C"/>
    <w:rsid w:val="006E7478"/>
    <w:rsid w:val="006E7ACE"/>
    <w:rsid w:val="006E7FC9"/>
    <w:rsid w:val="006F1116"/>
    <w:rsid w:val="006F1623"/>
    <w:rsid w:val="006F17A2"/>
    <w:rsid w:val="006F1AB0"/>
    <w:rsid w:val="006F2420"/>
    <w:rsid w:val="006F24FA"/>
    <w:rsid w:val="006F2654"/>
    <w:rsid w:val="006F2D49"/>
    <w:rsid w:val="006F3024"/>
    <w:rsid w:val="006F3196"/>
    <w:rsid w:val="006F346F"/>
    <w:rsid w:val="006F38CE"/>
    <w:rsid w:val="006F3C54"/>
    <w:rsid w:val="006F418C"/>
    <w:rsid w:val="006F572E"/>
    <w:rsid w:val="006F5E64"/>
    <w:rsid w:val="006F60DE"/>
    <w:rsid w:val="006F65FB"/>
    <w:rsid w:val="006F69B3"/>
    <w:rsid w:val="006F75AF"/>
    <w:rsid w:val="006F7914"/>
    <w:rsid w:val="006F7BE1"/>
    <w:rsid w:val="006F7C0B"/>
    <w:rsid w:val="006F7E46"/>
    <w:rsid w:val="00700AB4"/>
    <w:rsid w:val="00700FCA"/>
    <w:rsid w:val="007015C6"/>
    <w:rsid w:val="00701645"/>
    <w:rsid w:val="00701BBC"/>
    <w:rsid w:val="007021D8"/>
    <w:rsid w:val="00702530"/>
    <w:rsid w:val="00702704"/>
    <w:rsid w:val="00702D5A"/>
    <w:rsid w:val="00702EF7"/>
    <w:rsid w:val="00703153"/>
    <w:rsid w:val="00703571"/>
    <w:rsid w:val="00703989"/>
    <w:rsid w:val="00703C19"/>
    <w:rsid w:val="00703CE3"/>
    <w:rsid w:val="007041E1"/>
    <w:rsid w:val="007042E9"/>
    <w:rsid w:val="00704495"/>
    <w:rsid w:val="007048C5"/>
    <w:rsid w:val="00705062"/>
    <w:rsid w:val="0070548E"/>
    <w:rsid w:val="00705BBE"/>
    <w:rsid w:val="0070611C"/>
    <w:rsid w:val="00707AF4"/>
    <w:rsid w:val="007108D3"/>
    <w:rsid w:val="00710F10"/>
    <w:rsid w:val="00711056"/>
    <w:rsid w:val="0071118B"/>
    <w:rsid w:val="00711316"/>
    <w:rsid w:val="00711C66"/>
    <w:rsid w:val="00711C6D"/>
    <w:rsid w:val="00711E13"/>
    <w:rsid w:val="00712EDA"/>
    <w:rsid w:val="00713498"/>
    <w:rsid w:val="007136D0"/>
    <w:rsid w:val="007137A0"/>
    <w:rsid w:val="00713932"/>
    <w:rsid w:val="00713A7D"/>
    <w:rsid w:val="007155A9"/>
    <w:rsid w:val="007158E1"/>
    <w:rsid w:val="00716336"/>
    <w:rsid w:val="00716AA6"/>
    <w:rsid w:val="0071705B"/>
    <w:rsid w:val="007174F6"/>
    <w:rsid w:val="00717A7A"/>
    <w:rsid w:val="00720505"/>
    <w:rsid w:val="007210D8"/>
    <w:rsid w:val="00722331"/>
    <w:rsid w:val="0072247E"/>
    <w:rsid w:val="0072344C"/>
    <w:rsid w:val="007236A3"/>
    <w:rsid w:val="007239B6"/>
    <w:rsid w:val="00723BD9"/>
    <w:rsid w:val="00724792"/>
    <w:rsid w:val="007247C7"/>
    <w:rsid w:val="0072490A"/>
    <w:rsid w:val="00724B64"/>
    <w:rsid w:val="0072517D"/>
    <w:rsid w:val="00725780"/>
    <w:rsid w:val="007257A0"/>
    <w:rsid w:val="0072597F"/>
    <w:rsid w:val="00725FB1"/>
    <w:rsid w:val="0072656F"/>
    <w:rsid w:val="00726878"/>
    <w:rsid w:val="00726A86"/>
    <w:rsid w:val="00726AA2"/>
    <w:rsid w:val="0072741A"/>
    <w:rsid w:val="0073067D"/>
    <w:rsid w:val="00730EE2"/>
    <w:rsid w:val="00730F82"/>
    <w:rsid w:val="0073124A"/>
    <w:rsid w:val="00731A6A"/>
    <w:rsid w:val="00731B79"/>
    <w:rsid w:val="00732079"/>
    <w:rsid w:val="007320A2"/>
    <w:rsid w:val="007327CE"/>
    <w:rsid w:val="007329F4"/>
    <w:rsid w:val="00732ABF"/>
    <w:rsid w:val="0073307A"/>
    <w:rsid w:val="0073345D"/>
    <w:rsid w:val="00733893"/>
    <w:rsid w:val="00733BDC"/>
    <w:rsid w:val="00734A05"/>
    <w:rsid w:val="00734ECC"/>
    <w:rsid w:val="00735A10"/>
    <w:rsid w:val="00735B12"/>
    <w:rsid w:val="00735C6F"/>
    <w:rsid w:val="00736635"/>
    <w:rsid w:val="00737114"/>
    <w:rsid w:val="0073740A"/>
    <w:rsid w:val="00737A31"/>
    <w:rsid w:val="00737C18"/>
    <w:rsid w:val="00737EA7"/>
    <w:rsid w:val="007401CD"/>
    <w:rsid w:val="00740267"/>
    <w:rsid w:val="00742295"/>
    <w:rsid w:val="00742993"/>
    <w:rsid w:val="00742A6A"/>
    <w:rsid w:val="00742B44"/>
    <w:rsid w:val="00742FF2"/>
    <w:rsid w:val="0074417B"/>
    <w:rsid w:val="00744E2C"/>
    <w:rsid w:val="007451D9"/>
    <w:rsid w:val="0074656E"/>
    <w:rsid w:val="007472D5"/>
    <w:rsid w:val="00747E4B"/>
    <w:rsid w:val="007509A9"/>
    <w:rsid w:val="00751ECA"/>
    <w:rsid w:val="00752316"/>
    <w:rsid w:val="007524BB"/>
    <w:rsid w:val="00752926"/>
    <w:rsid w:val="00752B03"/>
    <w:rsid w:val="00753454"/>
    <w:rsid w:val="00753482"/>
    <w:rsid w:val="00753BB5"/>
    <w:rsid w:val="00753E8C"/>
    <w:rsid w:val="007544F1"/>
    <w:rsid w:val="00755E4A"/>
    <w:rsid w:val="007562B5"/>
    <w:rsid w:val="007565EA"/>
    <w:rsid w:val="00756832"/>
    <w:rsid w:val="0075799E"/>
    <w:rsid w:val="00757C54"/>
    <w:rsid w:val="00757F0B"/>
    <w:rsid w:val="00760DF2"/>
    <w:rsid w:val="00760E0D"/>
    <w:rsid w:val="007611BA"/>
    <w:rsid w:val="0076137C"/>
    <w:rsid w:val="0076160F"/>
    <w:rsid w:val="00761BF4"/>
    <w:rsid w:val="007626D0"/>
    <w:rsid w:val="00762767"/>
    <w:rsid w:val="0076322F"/>
    <w:rsid w:val="00763C9A"/>
    <w:rsid w:val="00764537"/>
    <w:rsid w:val="00764FB4"/>
    <w:rsid w:val="007651CA"/>
    <w:rsid w:val="0076561B"/>
    <w:rsid w:val="007661D6"/>
    <w:rsid w:val="00766603"/>
    <w:rsid w:val="00766AF0"/>
    <w:rsid w:val="00766C3E"/>
    <w:rsid w:val="00767519"/>
    <w:rsid w:val="007704E1"/>
    <w:rsid w:val="00770C92"/>
    <w:rsid w:val="00770D2B"/>
    <w:rsid w:val="00770E5C"/>
    <w:rsid w:val="0077169B"/>
    <w:rsid w:val="00772569"/>
    <w:rsid w:val="00772E8C"/>
    <w:rsid w:val="00772FDB"/>
    <w:rsid w:val="0077316B"/>
    <w:rsid w:val="007736D3"/>
    <w:rsid w:val="007747E6"/>
    <w:rsid w:val="007749BF"/>
    <w:rsid w:val="0077500F"/>
    <w:rsid w:val="0077545C"/>
    <w:rsid w:val="0077548E"/>
    <w:rsid w:val="007757AB"/>
    <w:rsid w:val="00775852"/>
    <w:rsid w:val="00775A3A"/>
    <w:rsid w:val="00777315"/>
    <w:rsid w:val="0077757C"/>
    <w:rsid w:val="00777AB2"/>
    <w:rsid w:val="00780130"/>
    <w:rsid w:val="007802E4"/>
    <w:rsid w:val="00780919"/>
    <w:rsid w:val="00780A5F"/>
    <w:rsid w:val="00781589"/>
    <w:rsid w:val="007820D0"/>
    <w:rsid w:val="007823AB"/>
    <w:rsid w:val="00782440"/>
    <w:rsid w:val="007826C8"/>
    <w:rsid w:val="00782903"/>
    <w:rsid w:val="00783DA9"/>
    <w:rsid w:val="00783FD8"/>
    <w:rsid w:val="00784190"/>
    <w:rsid w:val="0078457B"/>
    <w:rsid w:val="00784756"/>
    <w:rsid w:val="00784B3D"/>
    <w:rsid w:val="0078539D"/>
    <w:rsid w:val="007856C1"/>
    <w:rsid w:val="00785B0F"/>
    <w:rsid w:val="00785EFE"/>
    <w:rsid w:val="00787051"/>
    <w:rsid w:val="0079018D"/>
    <w:rsid w:val="007901DC"/>
    <w:rsid w:val="007907FE"/>
    <w:rsid w:val="00790DA0"/>
    <w:rsid w:val="0079131E"/>
    <w:rsid w:val="00791538"/>
    <w:rsid w:val="0079189A"/>
    <w:rsid w:val="00791A00"/>
    <w:rsid w:val="00791DDB"/>
    <w:rsid w:val="007926F8"/>
    <w:rsid w:val="00792CEE"/>
    <w:rsid w:val="007936A8"/>
    <w:rsid w:val="007948AB"/>
    <w:rsid w:val="0079535A"/>
    <w:rsid w:val="00796070"/>
    <w:rsid w:val="007962B4"/>
    <w:rsid w:val="00796394"/>
    <w:rsid w:val="0079648B"/>
    <w:rsid w:val="007964C1"/>
    <w:rsid w:val="00796B16"/>
    <w:rsid w:val="00796D36"/>
    <w:rsid w:val="00796E6B"/>
    <w:rsid w:val="00796F15"/>
    <w:rsid w:val="007974EF"/>
    <w:rsid w:val="00797E22"/>
    <w:rsid w:val="00797EFF"/>
    <w:rsid w:val="007A00D8"/>
    <w:rsid w:val="007A07D3"/>
    <w:rsid w:val="007A1171"/>
    <w:rsid w:val="007A138F"/>
    <w:rsid w:val="007A1640"/>
    <w:rsid w:val="007A16AB"/>
    <w:rsid w:val="007A1AE4"/>
    <w:rsid w:val="007A2413"/>
    <w:rsid w:val="007A2DB2"/>
    <w:rsid w:val="007A3095"/>
    <w:rsid w:val="007A345E"/>
    <w:rsid w:val="007A39DF"/>
    <w:rsid w:val="007A39E3"/>
    <w:rsid w:val="007A43ED"/>
    <w:rsid w:val="007A4BDD"/>
    <w:rsid w:val="007A54E0"/>
    <w:rsid w:val="007A5709"/>
    <w:rsid w:val="007A6195"/>
    <w:rsid w:val="007A6490"/>
    <w:rsid w:val="007A6B10"/>
    <w:rsid w:val="007A6CFD"/>
    <w:rsid w:val="007A72EE"/>
    <w:rsid w:val="007A788F"/>
    <w:rsid w:val="007B01ED"/>
    <w:rsid w:val="007B0397"/>
    <w:rsid w:val="007B0A18"/>
    <w:rsid w:val="007B0ADB"/>
    <w:rsid w:val="007B16BB"/>
    <w:rsid w:val="007B1FEE"/>
    <w:rsid w:val="007B26EE"/>
    <w:rsid w:val="007B2A51"/>
    <w:rsid w:val="007B2E1A"/>
    <w:rsid w:val="007B3502"/>
    <w:rsid w:val="007B3976"/>
    <w:rsid w:val="007B3E6D"/>
    <w:rsid w:val="007B3F67"/>
    <w:rsid w:val="007B44ED"/>
    <w:rsid w:val="007B4834"/>
    <w:rsid w:val="007B491A"/>
    <w:rsid w:val="007B4AAE"/>
    <w:rsid w:val="007B5028"/>
    <w:rsid w:val="007B5370"/>
    <w:rsid w:val="007B61F5"/>
    <w:rsid w:val="007B63FA"/>
    <w:rsid w:val="007B6F71"/>
    <w:rsid w:val="007B7494"/>
    <w:rsid w:val="007B7496"/>
    <w:rsid w:val="007B7A0E"/>
    <w:rsid w:val="007B7C20"/>
    <w:rsid w:val="007B7C63"/>
    <w:rsid w:val="007B7EF0"/>
    <w:rsid w:val="007B7F89"/>
    <w:rsid w:val="007C0011"/>
    <w:rsid w:val="007C0802"/>
    <w:rsid w:val="007C12BE"/>
    <w:rsid w:val="007C144A"/>
    <w:rsid w:val="007C15D5"/>
    <w:rsid w:val="007C1CE0"/>
    <w:rsid w:val="007C2739"/>
    <w:rsid w:val="007C44A5"/>
    <w:rsid w:val="007C4B0F"/>
    <w:rsid w:val="007C4DAD"/>
    <w:rsid w:val="007C500F"/>
    <w:rsid w:val="007C50A2"/>
    <w:rsid w:val="007C5830"/>
    <w:rsid w:val="007C5933"/>
    <w:rsid w:val="007C599E"/>
    <w:rsid w:val="007C5D56"/>
    <w:rsid w:val="007C5DB8"/>
    <w:rsid w:val="007C5DCE"/>
    <w:rsid w:val="007C6CA2"/>
    <w:rsid w:val="007C776C"/>
    <w:rsid w:val="007C78F0"/>
    <w:rsid w:val="007C7B41"/>
    <w:rsid w:val="007D05B2"/>
    <w:rsid w:val="007D05FA"/>
    <w:rsid w:val="007D0C44"/>
    <w:rsid w:val="007D1906"/>
    <w:rsid w:val="007D1972"/>
    <w:rsid w:val="007D1F33"/>
    <w:rsid w:val="007D1F86"/>
    <w:rsid w:val="007D24D2"/>
    <w:rsid w:val="007D275B"/>
    <w:rsid w:val="007D30B6"/>
    <w:rsid w:val="007D3307"/>
    <w:rsid w:val="007D337C"/>
    <w:rsid w:val="007D3BA5"/>
    <w:rsid w:val="007D44A7"/>
    <w:rsid w:val="007D44C0"/>
    <w:rsid w:val="007D44CE"/>
    <w:rsid w:val="007D4B19"/>
    <w:rsid w:val="007D4B66"/>
    <w:rsid w:val="007D4E53"/>
    <w:rsid w:val="007D54F8"/>
    <w:rsid w:val="007D5B29"/>
    <w:rsid w:val="007D5E27"/>
    <w:rsid w:val="007D6031"/>
    <w:rsid w:val="007D6DE0"/>
    <w:rsid w:val="007D6F64"/>
    <w:rsid w:val="007D7ECD"/>
    <w:rsid w:val="007E0F89"/>
    <w:rsid w:val="007E1043"/>
    <w:rsid w:val="007E170F"/>
    <w:rsid w:val="007E1782"/>
    <w:rsid w:val="007E21F9"/>
    <w:rsid w:val="007E25AB"/>
    <w:rsid w:val="007E2F41"/>
    <w:rsid w:val="007E37ED"/>
    <w:rsid w:val="007E3833"/>
    <w:rsid w:val="007E44FC"/>
    <w:rsid w:val="007E4604"/>
    <w:rsid w:val="007E5366"/>
    <w:rsid w:val="007E5AC2"/>
    <w:rsid w:val="007E60B5"/>
    <w:rsid w:val="007E6402"/>
    <w:rsid w:val="007E661D"/>
    <w:rsid w:val="007E6D43"/>
    <w:rsid w:val="007E79C5"/>
    <w:rsid w:val="007E7C09"/>
    <w:rsid w:val="007E7DD2"/>
    <w:rsid w:val="007F01FF"/>
    <w:rsid w:val="007F0542"/>
    <w:rsid w:val="007F0798"/>
    <w:rsid w:val="007F1002"/>
    <w:rsid w:val="007F2845"/>
    <w:rsid w:val="007F2A69"/>
    <w:rsid w:val="007F2C87"/>
    <w:rsid w:val="007F38A2"/>
    <w:rsid w:val="007F3DD3"/>
    <w:rsid w:val="007F4197"/>
    <w:rsid w:val="007F43BC"/>
    <w:rsid w:val="007F4740"/>
    <w:rsid w:val="007F5683"/>
    <w:rsid w:val="007F7920"/>
    <w:rsid w:val="0080067C"/>
    <w:rsid w:val="008006C6"/>
    <w:rsid w:val="00800C4A"/>
    <w:rsid w:val="00800C52"/>
    <w:rsid w:val="00801041"/>
    <w:rsid w:val="0080153E"/>
    <w:rsid w:val="008017AD"/>
    <w:rsid w:val="008018C8"/>
    <w:rsid w:val="00801E31"/>
    <w:rsid w:val="00801E8F"/>
    <w:rsid w:val="00801F87"/>
    <w:rsid w:val="008022D0"/>
    <w:rsid w:val="0080263A"/>
    <w:rsid w:val="00803191"/>
    <w:rsid w:val="0080329D"/>
    <w:rsid w:val="00803434"/>
    <w:rsid w:val="00803A76"/>
    <w:rsid w:val="008055A9"/>
    <w:rsid w:val="00805C3B"/>
    <w:rsid w:val="00805D7E"/>
    <w:rsid w:val="00805DE2"/>
    <w:rsid w:val="00805DF6"/>
    <w:rsid w:val="008063BD"/>
    <w:rsid w:val="00806BCD"/>
    <w:rsid w:val="00806FE3"/>
    <w:rsid w:val="0080710B"/>
    <w:rsid w:val="00807175"/>
    <w:rsid w:val="0080742D"/>
    <w:rsid w:val="00807B9A"/>
    <w:rsid w:val="008100AC"/>
    <w:rsid w:val="008101EA"/>
    <w:rsid w:val="00810C05"/>
    <w:rsid w:val="00810FEC"/>
    <w:rsid w:val="0081151E"/>
    <w:rsid w:val="008119C2"/>
    <w:rsid w:val="00811A5F"/>
    <w:rsid w:val="00811D53"/>
    <w:rsid w:val="00812498"/>
    <w:rsid w:val="008127E6"/>
    <w:rsid w:val="0081336E"/>
    <w:rsid w:val="00813928"/>
    <w:rsid w:val="00814A34"/>
    <w:rsid w:val="00814D06"/>
    <w:rsid w:val="00814EC2"/>
    <w:rsid w:val="008154EC"/>
    <w:rsid w:val="00815D29"/>
    <w:rsid w:val="00815D2E"/>
    <w:rsid w:val="0081666C"/>
    <w:rsid w:val="00816BAB"/>
    <w:rsid w:val="00817334"/>
    <w:rsid w:val="00820123"/>
    <w:rsid w:val="008203E5"/>
    <w:rsid w:val="00820DC7"/>
    <w:rsid w:val="00820FFB"/>
    <w:rsid w:val="00821698"/>
    <w:rsid w:val="008221FE"/>
    <w:rsid w:val="0082284C"/>
    <w:rsid w:val="00822A05"/>
    <w:rsid w:val="00822BF5"/>
    <w:rsid w:val="00823382"/>
    <w:rsid w:val="00823E57"/>
    <w:rsid w:val="00824894"/>
    <w:rsid w:val="00824D88"/>
    <w:rsid w:val="00824FFF"/>
    <w:rsid w:val="00825366"/>
    <w:rsid w:val="00825AED"/>
    <w:rsid w:val="00825E84"/>
    <w:rsid w:val="00826A60"/>
    <w:rsid w:val="00826C7B"/>
    <w:rsid w:val="00826DD9"/>
    <w:rsid w:val="00826E01"/>
    <w:rsid w:val="00827461"/>
    <w:rsid w:val="008277A8"/>
    <w:rsid w:val="008278B6"/>
    <w:rsid w:val="0082792B"/>
    <w:rsid w:val="008307ED"/>
    <w:rsid w:val="00830B3B"/>
    <w:rsid w:val="00831334"/>
    <w:rsid w:val="00832925"/>
    <w:rsid w:val="0083350F"/>
    <w:rsid w:val="0083397C"/>
    <w:rsid w:val="0083402C"/>
    <w:rsid w:val="00834358"/>
    <w:rsid w:val="008346BD"/>
    <w:rsid w:val="00834923"/>
    <w:rsid w:val="00834F2D"/>
    <w:rsid w:val="00834FA2"/>
    <w:rsid w:val="0083553B"/>
    <w:rsid w:val="00835794"/>
    <w:rsid w:val="008359EB"/>
    <w:rsid w:val="00835CD4"/>
    <w:rsid w:val="00835FFA"/>
    <w:rsid w:val="008361BB"/>
    <w:rsid w:val="00836765"/>
    <w:rsid w:val="00836B7A"/>
    <w:rsid w:val="008379AF"/>
    <w:rsid w:val="00837B90"/>
    <w:rsid w:val="00840121"/>
    <w:rsid w:val="008401B2"/>
    <w:rsid w:val="00840830"/>
    <w:rsid w:val="008409AA"/>
    <w:rsid w:val="00840FB8"/>
    <w:rsid w:val="00841B17"/>
    <w:rsid w:val="00842E0C"/>
    <w:rsid w:val="00843647"/>
    <w:rsid w:val="00843818"/>
    <w:rsid w:val="00843A7A"/>
    <w:rsid w:val="008440C0"/>
    <w:rsid w:val="008447D4"/>
    <w:rsid w:val="008447F5"/>
    <w:rsid w:val="00845936"/>
    <w:rsid w:val="00845D25"/>
    <w:rsid w:val="00846183"/>
    <w:rsid w:val="00846292"/>
    <w:rsid w:val="00847477"/>
    <w:rsid w:val="00850662"/>
    <w:rsid w:val="008506E1"/>
    <w:rsid w:val="00850BDC"/>
    <w:rsid w:val="00850D96"/>
    <w:rsid w:val="008515EE"/>
    <w:rsid w:val="008519FE"/>
    <w:rsid w:val="00851A8E"/>
    <w:rsid w:val="00851EC7"/>
    <w:rsid w:val="008520C4"/>
    <w:rsid w:val="008528D3"/>
    <w:rsid w:val="00854553"/>
    <w:rsid w:val="008550C0"/>
    <w:rsid w:val="008558D9"/>
    <w:rsid w:val="00855B86"/>
    <w:rsid w:val="00856D47"/>
    <w:rsid w:val="00856E15"/>
    <w:rsid w:val="008572EC"/>
    <w:rsid w:val="008575D4"/>
    <w:rsid w:val="0085763B"/>
    <w:rsid w:val="00857688"/>
    <w:rsid w:val="00857768"/>
    <w:rsid w:val="0085788E"/>
    <w:rsid w:val="00860745"/>
    <w:rsid w:val="00860874"/>
    <w:rsid w:val="008609A3"/>
    <w:rsid w:val="008610B8"/>
    <w:rsid w:val="008611B6"/>
    <w:rsid w:val="00861F12"/>
    <w:rsid w:val="00862008"/>
    <w:rsid w:val="008621A1"/>
    <w:rsid w:val="008625A2"/>
    <w:rsid w:val="00862720"/>
    <w:rsid w:val="008628C8"/>
    <w:rsid w:val="00862ADA"/>
    <w:rsid w:val="00862B2A"/>
    <w:rsid w:val="008630B9"/>
    <w:rsid w:val="008631B3"/>
    <w:rsid w:val="00863B8F"/>
    <w:rsid w:val="00863F37"/>
    <w:rsid w:val="0086406B"/>
    <w:rsid w:val="008646C1"/>
    <w:rsid w:val="008649B5"/>
    <w:rsid w:val="00864C8C"/>
    <w:rsid w:val="008659FB"/>
    <w:rsid w:val="00865C81"/>
    <w:rsid w:val="0086709D"/>
    <w:rsid w:val="00867651"/>
    <w:rsid w:val="00867664"/>
    <w:rsid w:val="00867B5A"/>
    <w:rsid w:val="00870147"/>
    <w:rsid w:val="00870E8C"/>
    <w:rsid w:val="008719E1"/>
    <w:rsid w:val="00872089"/>
    <w:rsid w:val="00872959"/>
    <w:rsid w:val="00872C00"/>
    <w:rsid w:val="00873B1E"/>
    <w:rsid w:val="00874009"/>
    <w:rsid w:val="00874158"/>
    <w:rsid w:val="008743F3"/>
    <w:rsid w:val="00874418"/>
    <w:rsid w:val="0087444A"/>
    <w:rsid w:val="008746F1"/>
    <w:rsid w:val="0087478C"/>
    <w:rsid w:val="0087488F"/>
    <w:rsid w:val="00875139"/>
    <w:rsid w:val="00875410"/>
    <w:rsid w:val="00875F96"/>
    <w:rsid w:val="00876053"/>
    <w:rsid w:val="00876545"/>
    <w:rsid w:val="00876620"/>
    <w:rsid w:val="00876E78"/>
    <w:rsid w:val="00877711"/>
    <w:rsid w:val="00877FBF"/>
    <w:rsid w:val="00880798"/>
    <w:rsid w:val="00880BBB"/>
    <w:rsid w:val="00880EDF"/>
    <w:rsid w:val="008811FD"/>
    <w:rsid w:val="0088137C"/>
    <w:rsid w:val="008819B6"/>
    <w:rsid w:val="0088208D"/>
    <w:rsid w:val="0088212C"/>
    <w:rsid w:val="00882DE6"/>
    <w:rsid w:val="00883366"/>
    <w:rsid w:val="008835D5"/>
    <w:rsid w:val="00883A20"/>
    <w:rsid w:val="00883D4D"/>
    <w:rsid w:val="00884007"/>
    <w:rsid w:val="0088460C"/>
    <w:rsid w:val="008847DA"/>
    <w:rsid w:val="00884B59"/>
    <w:rsid w:val="00884C56"/>
    <w:rsid w:val="008850BA"/>
    <w:rsid w:val="008852EF"/>
    <w:rsid w:val="00885580"/>
    <w:rsid w:val="00885876"/>
    <w:rsid w:val="00885B2D"/>
    <w:rsid w:val="00885D97"/>
    <w:rsid w:val="00886185"/>
    <w:rsid w:val="008861D9"/>
    <w:rsid w:val="0088638C"/>
    <w:rsid w:val="0088684D"/>
    <w:rsid w:val="00886EDF"/>
    <w:rsid w:val="00887AA7"/>
    <w:rsid w:val="00887B44"/>
    <w:rsid w:val="00890259"/>
    <w:rsid w:val="008908E5"/>
    <w:rsid w:val="00891216"/>
    <w:rsid w:val="00891CE4"/>
    <w:rsid w:val="00892A60"/>
    <w:rsid w:val="00893942"/>
    <w:rsid w:val="00894406"/>
    <w:rsid w:val="00894B58"/>
    <w:rsid w:val="00894BF7"/>
    <w:rsid w:val="00894FDC"/>
    <w:rsid w:val="008957D3"/>
    <w:rsid w:val="00896414"/>
    <w:rsid w:val="0089716F"/>
    <w:rsid w:val="00897C71"/>
    <w:rsid w:val="00897D8C"/>
    <w:rsid w:val="008A05D6"/>
    <w:rsid w:val="008A05EA"/>
    <w:rsid w:val="008A0F54"/>
    <w:rsid w:val="008A127F"/>
    <w:rsid w:val="008A16F9"/>
    <w:rsid w:val="008A189B"/>
    <w:rsid w:val="008A1CCA"/>
    <w:rsid w:val="008A1D3E"/>
    <w:rsid w:val="008A1E07"/>
    <w:rsid w:val="008A3038"/>
    <w:rsid w:val="008A3967"/>
    <w:rsid w:val="008A4A10"/>
    <w:rsid w:val="008A4B16"/>
    <w:rsid w:val="008A4D01"/>
    <w:rsid w:val="008A4D63"/>
    <w:rsid w:val="008A4E11"/>
    <w:rsid w:val="008A65B2"/>
    <w:rsid w:val="008A6D62"/>
    <w:rsid w:val="008A70F7"/>
    <w:rsid w:val="008A726F"/>
    <w:rsid w:val="008A7606"/>
    <w:rsid w:val="008B0A73"/>
    <w:rsid w:val="008B13E9"/>
    <w:rsid w:val="008B1BBB"/>
    <w:rsid w:val="008B2257"/>
    <w:rsid w:val="008B2436"/>
    <w:rsid w:val="008B26D5"/>
    <w:rsid w:val="008B3B51"/>
    <w:rsid w:val="008B4057"/>
    <w:rsid w:val="008B4145"/>
    <w:rsid w:val="008B4F0A"/>
    <w:rsid w:val="008B5071"/>
    <w:rsid w:val="008B5290"/>
    <w:rsid w:val="008B5D94"/>
    <w:rsid w:val="008B63B3"/>
    <w:rsid w:val="008B6A40"/>
    <w:rsid w:val="008B72EC"/>
    <w:rsid w:val="008B73FA"/>
    <w:rsid w:val="008C0B4F"/>
    <w:rsid w:val="008C16CC"/>
    <w:rsid w:val="008C2BD3"/>
    <w:rsid w:val="008C2CFD"/>
    <w:rsid w:val="008C2FAA"/>
    <w:rsid w:val="008C336C"/>
    <w:rsid w:val="008C3A93"/>
    <w:rsid w:val="008C3AD0"/>
    <w:rsid w:val="008C3FDC"/>
    <w:rsid w:val="008C47AD"/>
    <w:rsid w:val="008C5376"/>
    <w:rsid w:val="008C5725"/>
    <w:rsid w:val="008C603A"/>
    <w:rsid w:val="008C62DB"/>
    <w:rsid w:val="008C64D2"/>
    <w:rsid w:val="008C64EF"/>
    <w:rsid w:val="008C6C4B"/>
    <w:rsid w:val="008C71C8"/>
    <w:rsid w:val="008D0681"/>
    <w:rsid w:val="008D0A5A"/>
    <w:rsid w:val="008D0C3C"/>
    <w:rsid w:val="008D148E"/>
    <w:rsid w:val="008D167D"/>
    <w:rsid w:val="008D1FF8"/>
    <w:rsid w:val="008D20FE"/>
    <w:rsid w:val="008D2B26"/>
    <w:rsid w:val="008D2BF9"/>
    <w:rsid w:val="008D2E88"/>
    <w:rsid w:val="008D3116"/>
    <w:rsid w:val="008D3F33"/>
    <w:rsid w:val="008D4476"/>
    <w:rsid w:val="008D492A"/>
    <w:rsid w:val="008D4B58"/>
    <w:rsid w:val="008D4B7F"/>
    <w:rsid w:val="008D4B8A"/>
    <w:rsid w:val="008D4DD2"/>
    <w:rsid w:val="008D559D"/>
    <w:rsid w:val="008D57E1"/>
    <w:rsid w:val="008D6541"/>
    <w:rsid w:val="008D669D"/>
    <w:rsid w:val="008D7244"/>
    <w:rsid w:val="008D764C"/>
    <w:rsid w:val="008D7D7B"/>
    <w:rsid w:val="008E0F52"/>
    <w:rsid w:val="008E1DC1"/>
    <w:rsid w:val="008E1EBD"/>
    <w:rsid w:val="008E1F02"/>
    <w:rsid w:val="008E216C"/>
    <w:rsid w:val="008E2316"/>
    <w:rsid w:val="008E236C"/>
    <w:rsid w:val="008E3063"/>
    <w:rsid w:val="008E30C6"/>
    <w:rsid w:val="008E33E5"/>
    <w:rsid w:val="008E34BE"/>
    <w:rsid w:val="008E3AA8"/>
    <w:rsid w:val="008E3B0F"/>
    <w:rsid w:val="008E3E57"/>
    <w:rsid w:val="008E42CE"/>
    <w:rsid w:val="008E42F4"/>
    <w:rsid w:val="008E4333"/>
    <w:rsid w:val="008E4696"/>
    <w:rsid w:val="008E4A31"/>
    <w:rsid w:val="008E5657"/>
    <w:rsid w:val="008E5E51"/>
    <w:rsid w:val="008E6302"/>
    <w:rsid w:val="008E7E3B"/>
    <w:rsid w:val="008F00DB"/>
    <w:rsid w:val="008F00F1"/>
    <w:rsid w:val="008F03A0"/>
    <w:rsid w:val="008F0C49"/>
    <w:rsid w:val="008F1264"/>
    <w:rsid w:val="008F13F6"/>
    <w:rsid w:val="008F16C8"/>
    <w:rsid w:val="008F18AA"/>
    <w:rsid w:val="008F1D8C"/>
    <w:rsid w:val="008F2908"/>
    <w:rsid w:val="008F2B63"/>
    <w:rsid w:val="008F38EE"/>
    <w:rsid w:val="008F3A90"/>
    <w:rsid w:val="008F4679"/>
    <w:rsid w:val="008F47C6"/>
    <w:rsid w:val="008F4C3A"/>
    <w:rsid w:val="008F528F"/>
    <w:rsid w:val="008F5C40"/>
    <w:rsid w:val="008F6647"/>
    <w:rsid w:val="008F700E"/>
    <w:rsid w:val="008F72D1"/>
    <w:rsid w:val="008F7D69"/>
    <w:rsid w:val="00900343"/>
    <w:rsid w:val="009006A2"/>
    <w:rsid w:val="0090102B"/>
    <w:rsid w:val="00901448"/>
    <w:rsid w:val="00902C43"/>
    <w:rsid w:val="009034F6"/>
    <w:rsid w:val="009036BC"/>
    <w:rsid w:val="00903D30"/>
    <w:rsid w:val="00903D77"/>
    <w:rsid w:val="00904414"/>
    <w:rsid w:val="00905197"/>
    <w:rsid w:val="009052A7"/>
    <w:rsid w:val="00905C47"/>
    <w:rsid w:val="00905CE1"/>
    <w:rsid w:val="00905F10"/>
    <w:rsid w:val="00906379"/>
    <w:rsid w:val="009068AB"/>
    <w:rsid w:val="00906A8C"/>
    <w:rsid w:val="00907531"/>
    <w:rsid w:val="009101EA"/>
    <w:rsid w:val="009103B3"/>
    <w:rsid w:val="009106FC"/>
    <w:rsid w:val="009108E5"/>
    <w:rsid w:val="00910B8B"/>
    <w:rsid w:val="00910BE4"/>
    <w:rsid w:val="00910E3D"/>
    <w:rsid w:val="009118BB"/>
    <w:rsid w:val="0091191F"/>
    <w:rsid w:val="00911AF3"/>
    <w:rsid w:val="00911E7D"/>
    <w:rsid w:val="009120A9"/>
    <w:rsid w:val="009124A1"/>
    <w:rsid w:val="00912BB6"/>
    <w:rsid w:val="0091300C"/>
    <w:rsid w:val="009132C6"/>
    <w:rsid w:val="009134C3"/>
    <w:rsid w:val="009134DE"/>
    <w:rsid w:val="009147EE"/>
    <w:rsid w:val="00914A69"/>
    <w:rsid w:val="00915578"/>
    <w:rsid w:val="009159AC"/>
    <w:rsid w:val="00915B81"/>
    <w:rsid w:val="00915C72"/>
    <w:rsid w:val="00915D6B"/>
    <w:rsid w:val="00915F34"/>
    <w:rsid w:val="009160DF"/>
    <w:rsid w:val="009162C7"/>
    <w:rsid w:val="00916381"/>
    <w:rsid w:val="00916EC2"/>
    <w:rsid w:val="00917DFE"/>
    <w:rsid w:val="009206DD"/>
    <w:rsid w:val="00920C7A"/>
    <w:rsid w:val="00920E3C"/>
    <w:rsid w:val="009213AB"/>
    <w:rsid w:val="009213BD"/>
    <w:rsid w:val="00921880"/>
    <w:rsid w:val="00922042"/>
    <w:rsid w:val="009220B7"/>
    <w:rsid w:val="00922148"/>
    <w:rsid w:val="00922183"/>
    <w:rsid w:val="0092260F"/>
    <w:rsid w:val="00922EBD"/>
    <w:rsid w:val="009230A6"/>
    <w:rsid w:val="00924393"/>
    <w:rsid w:val="00924627"/>
    <w:rsid w:val="009246FB"/>
    <w:rsid w:val="00924BD9"/>
    <w:rsid w:val="009250A8"/>
    <w:rsid w:val="009250C8"/>
    <w:rsid w:val="00925BBC"/>
    <w:rsid w:val="00925BE6"/>
    <w:rsid w:val="009264CF"/>
    <w:rsid w:val="00926697"/>
    <w:rsid w:val="009266D7"/>
    <w:rsid w:val="00926F61"/>
    <w:rsid w:val="00926FA9"/>
    <w:rsid w:val="009275D1"/>
    <w:rsid w:val="00927F67"/>
    <w:rsid w:val="009306C6"/>
    <w:rsid w:val="00930D65"/>
    <w:rsid w:val="00930D91"/>
    <w:rsid w:val="0093123D"/>
    <w:rsid w:val="009327D2"/>
    <w:rsid w:val="00933040"/>
    <w:rsid w:val="009330E9"/>
    <w:rsid w:val="009333E1"/>
    <w:rsid w:val="00933CB8"/>
    <w:rsid w:val="0093402A"/>
    <w:rsid w:val="00934972"/>
    <w:rsid w:val="00934D97"/>
    <w:rsid w:val="00935715"/>
    <w:rsid w:val="00935D15"/>
    <w:rsid w:val="00935ED5"/>
    <w:rsid w:val="00936084"/>
    <w:rsid w:val="009360DC"/>
    <w:rsid w:val="00936C11"/>
    <w:rsid w:val="00936F44"/>
    <w:rsid w:val="009408CB"/>
    <w:rsid w:val="009411FB"/>
    <w:rsid w:val="009414A9"/>
    <w:rsid w:val="00941B71"/>
    <w:rsid w:val="00941DF9"/>
    <w:rsid w:val="009421AD"/>
    <w:rsid w:val="0094221C"/>
    <w:rsid w:val="00942A0B"/>
    <w:rsid w:val="009430F9"/>
    <w:rsid w:val="0094409C"/>
    <w:rsid w:val="00944159"/>
    <w:rsid w:val="00944223"/>
    <w:rsid w:val="0094475E"/>
    <w:rsid w:val="00944777"/>
    <w:rsid w:val="009448CD"/>
    <w:rsid w:val="009449B2"/>
    <w:rsid w:val="00944A5C"/>
    <w:rsid w:val="00944A82"/>
    <w:rsid w:val="00944BA5"/>
    <w:rsid w:val="00945091"/>
    <w:rsid w:val="0094573A"/>
    <w:rsid w:val="00945A74"/>
    <w:rsid w:val="00945AC7"/>
    <w:rsid w:val="0094651B"/>
    <w:rsid w:val="00946C4D"/>
    <w:rsid w:val="00947200"/>
    <w:rsid w:val="00947E28"/>
    <w:rsid w:val="0095019A"/>
    <w:rsid w:val="00950D7D"/>
    <w:rsid w:val="00951434"/>
    <w:rsid w:val="009514B7"/>
    <w:rsid w:val="00952422"/>
    <w:rsid w:val="0095285B"/>
    <w:rsid w:val="00953FE9"/>
    <w:rsid w:val="00954417"/>
    <w:rsid w:val="0095481C"/>
    <w:rsid w:val="0095526F"/>
    <w:rsid w:val="009552E8"/>
    <w:rsid w:val="009554E7"/>
    <w:rsid w:val="00955E4A"/>
    <w:rsid w:val="00955E70"/>
    <w:rsid w:val="009565E8"/>
    <w:rsid w:val="0095660A"/>
    <w:rsid w:val="009567E6"/>
    <w:rsid w:val="00956D98"/>
    <w:rsid w:val="00957076"/>
    <w:rsid w:val="00957132"/>
    <w:rsid w:val="009571F8"/>
    <w:rsid w:val="009576FD"/>
    <w:rsid w:val="009578EB"/>
    <w:rsid w:val="009578FF"/>
    <w:rsid w:val="00957ADA"/>
    <w:rsid w:val="00960443"/>
    <w:rsid w:val="00960446"/>
    <w:rsid w:val="009609B4"/>
    <w:rsid w:val="009610ED"/>
    <w:rsid w:val="00961144"/>
    <w:rsid w:val="00961678"/>
    <w:rsid w:val="00961EE9"/>
    <w:rsid w:val="00961FBF"/>
    <w:rsid w:val="0096311E"/>
    <w:rsid w:val="009633BB"/>
    <w:rsid w:val="00963891"/>
    <w:rsid w:val="00963A36"/>
    <w:rsid w:val="00963D72"/>
    <w:rsid w:val="00964019"/>
    <w:rsid w:val="009643DA"/>
    <w:rsid w:val="0096485F"/>
    <w:rsid w:val="0096559B"/>
    <w:rsid w:val="00965C40"/>
    <w:rsid w:val="00966A84"/>
    <w:rsid w:val="00966D57"/>
    <w:rsid w:val="00967354"/>
    <w:rsid w:val="00967960"/>
    <w:rsid w:val="00967F25"/>
    <w:rsid w:val="00970AA5"/>
    <w:rsid w:val="00970EB7"/>
    <w:rsid w:val="00970ECB"/>
    <w:rsid w:val="0097140F"/>
    <w:rsid w:val="00971529"/>
    <w:rsid w:val="00971589"/>
    <w:rsid w:val="00971592"/>
    <w:rsid w:val="00971617"/>
    <w:rsid w:val="009717E1"/>
    <w:rsid w:val="009717F8"/>
    <w:rsid w:val="009718DF"/>
    <w:rsid w:val="0097197B"/>
    <w:rsid w:val="00971DDF"/>
    <w:rsid w:val="00971E80"/>
    <w:rsid w:val="0097225C"/>
    <w:rsid w:val="009731D6"/>
    <w:rsid w:val="009732DA"/>
    <w:rsid w:val="00973CB0"/>
    <w:rsid w:val="00973FC6"/>
    <w:rsid w:val="00974746"/>
    <w:rsid w:val="00974E62"/>
    <w:rsid w:val="00974F00"/>
    <w:rsid w:val="00975119"/>
    <w:rsid w:val="00975AD9"/>
    <w:rsid w:val="00975BF5"/>
    <w:rsid w:val="0097606B"/>
    <w:rsid w:val="009763ED"/>
    <w:rsid w:val="00976788"/>
    <w:rsid w:val="00976A72"/>
    <w:rsid w:val="00976AAA"/>
    <w:rsid w:val="00976F04"/>
    <w:rsid w:val="009777E5"/>
    <w:rsid w:val="009777F4"/>
    <w:rsid w:val="00977AD8"/>
    <w:rsid w:val="00980775"/>
    <w:rsid w:val="0098084C"/>
    <w:rsid w:val="00980A10"/>
    <w:rsid w:val="00981130"/>
    <w:rsid w:val="0098125E"/>
    <w:rsid w:val="00981BD8"/>
    <w:rsid w:val="0098229C"/>
    <w:rsid w:val="009822BD"/>
    <w:rsid w:val="0098289D"/>
    <w:rsid w:val="009835E0"/>
    <w:rsid w:val="00983D08"/>
    <w:rsid w:val="00983D46"/>
    <w:rsid w:val="00983DCA"/>
    <w:rsid w:val="009844B8"/>
    <w:rsid w:val="00985262"/>
    <w:rsid w:val="00985EF7"/>
    <w:rsid w:val="00986093"/>
    <w:rsid w:val="00986146"/>
    <w:rsid w:val="00986A47"/>
    <w:rsid w:val="00986CF9"/>
    <w:rsid w:val="0098711E"/>
    <w:rsid w:val="0098727B"/>
    <w:rsid w:val="00987416"/>
    <w:rsid w:val="009879B0"/>
    <w:rsid w:val="00987C13"/>
    <w:rsid w:val="00987C4E"/>
    <w:rsid w:val="00990154"/>
    <w:rsid w:val="00990C0E"/>
    <w:rsid w:val="00990D75"/>
    <w:rsid w:val="00991093"/>
    <w:rsid w:val="0099163B"/>
    <w:rsid w:val="0099219C"/>
    <w:rsid w:val="0099219D"/>
    <w:rsid w:val="00992243"/>
    <w:rsid w:val="00992343"/>
    <w:rsid w:val="009923C9"/>
    <w:rsid w:val="009924A1"/>
    <w:rsid w:val="009929FB"/>
    <w:rsid w:val="0099307C"/>
    <w:rsid w:val="00993750"/>
    <w:rsid w:val="0099381C"/>
    <w:rsid w:val="0099383D"/>
    <w:rsid w:val="009938B1"/>
    <w:rsid w:val="00993CB6"/>
    <w:rsid w:val="00994B48"/>
    <w:rsid w:val="00994B7C"/>
    <w:rsid w:val="00995884"/>
    <w:rsid w:val="00996258"/>
    <w:rsid w:val="00996306"/>
    <w:rsid w:val="00996744"/>
    <w:rsid w:val="00996A9F"/>
    <w:rsid w:val="00996E72"/>
    <w:rsid w:val="00997013"/>
    <w:rsid w:val="00997CF4"/>
    <w:rsid w:val="009A1169"/>
    <w:rsid w:val="009A164C"/>
    <w:rsid w:val="009A1AAC"/>
    <w:rsid w:val="009A21C7"/>
    <w:rsid w:val="009A22A9"/>
    <w:rsid w:val="009A2BB6"/>
    <w:rsid w:val="009A2CB8"/>
    <w:rsid w:val="009A3125"/>
    <w:rsid w:val="009A3789"/>
    <w:rsid w:val="009A3D54"/>
    <w:rsid w:val="009A4419"/>
    <w:rsid w:val="009A45A2"/>
    <w:rsid w:val="009A56D4"/>
    <w:rsid w:val="009A5D01"/>
    <w:rsid w:val="009A6919"/>
    <w:rsid w:val="009A6AC7"/>
    <w:rsid w:val="009A6D1D"/>
    <w:rsid w:val="009A6D57"/>
    <w:rsid w:val="009A742F"/>
    <w:rsid w:val="009B0173"/>
    <w:rsid w:val="009B0408"/>
    <w:rsid w:val="009B0491"/>
    <w:rsid w:val="009B0843"/>
    <w:rsid w:val="009B0DEE"/>
    <w:rsid w:val="009B1335"/>
    <w:rsid w:val="009B176D"/>
    <w:rsid w:val="009B18DA"/>
    <w:rsid w:val="009B1CD2"/>
    <w:rsid w:val="009B1E47"/>
    <w:rsid w:val="009B2CED"/>
    <w:rsid w:val="009B3054"/>
    <w:rsid w:val="009B335D"/>
    <w:rsid w:val="009B3801"/>
    <w:rsid w:val="009B3C90"/>
    <w:rsid w:val="009B4874"/>
    <w:rsid w:val="009B4C96"/>
    <w:rsid w:val="009B4EAC"/>
    <w:rsid w:val="009B55F1"/>
    <w:rsid w:val="009B68F1"/>
    <w:rsid w:val="009B76E3"/>
    <w:rsid w:val="009B76F9"/>
    <w:rsid w:val="009B79BD"/>
    <w:rsid w:val="009B7A72"/>
    <w:rsid w:val="009B7BB8"/>
    <w:rsid w:val="009B7D38"/>
    <w:rsid w:val="009C05C7"/>
    <w:rsid w:val="009C0E9B"/>
    <w:rsid w:val="009C0FDB"/>
    <w:rsid w:val="009C126A"/>
    <w:rsid w:val="009C1D4C"/>
    <w:rsid w:val="009C2C4B"/>
    <w:rsid w:val="009C2DD2"/>
    <w:rsid w:val="009C35CB"/>
    <w:rsid w:val="009C3767"/>
    <w:rsid w:val="009C3982"/>
    <w:rsid w:val="009C441F"/>
    <w:rsid w:val="009C4A07"/>
    <w:rsid w:val="009C4B8E"/>
    <w:rsid w:val="009C4DBC"/>
    <w:rsid w:val="009C51D5"/>
    <w:rsid w:val="009C543C"/>
    <w:rsid w:val="009C599A"/>
    <w:rsid w:val="009C5C3A"/>
    <w:rsid w:val="009C5CF1"/>
    <w:rsid w:val="009C5EFF"/>
    <w:rsid w:val="009C64FC"/>
    <w:rsid w:val="009C650E"/>
    <w:rsid w:val="009C651B"/>
    <w:rsid w:val="009C652F"/>
    <w:rsid w:val="009C66C9"/>
    <w:rsid w:val="009C70DB"/>
    <w:rsid w:val="009C774A"/>
    <w:rsid w:val="009D0E9D"/>
    <w:rsid w:val="009D19BC"/>
    <w:rsid w:val="009D19D6"/>
    <w:rsid w:val="009D1CD0"/>
    <w:rsid w:val="009D2348"/>
    <w:rsid w:val="009D23D6"/>
    <w:rsid w:val="009D255C"/>
    <w:rsid w:val="009D2DD8"/>
    <w:rsid w:val="009D2EA8"/>
    <w:rsid w:val="009D2F0C"/>
    <w:rsid w:val="009D3306"/>
    <w:rsid w:val="009D3578"/>
    <w:rsid w:val="009D3A5F"/>
    <w:rsid w:val="009D4392"/>
    <w:rsid w:val="009D45BD"/>
    <w:rsid w:val="009D493C"/>
    <w:rsid w:val="009D4DE0"/>
    <w:rsid w:val="009D4F88"/>
    <w:rsid w:val="009D5193"/>
    <w:rsid w:val="009D5C32"/>
    <w:rsid w:val="009D5C56"/>
    <w:rsid w:val="009D6472"/>
    <w:rsid w:val="009D6AD6"/>
    <w:rsid w:val="009D6BEB"/>
    <w:rsid w:val="009D78D7"/>
    <w:rsid w:val="009D79F4"/>
    <w:rsid w:val="009D7D19"/>
    <w:rsid w:val="009E126D"/>
    <w:rsid w:val="009E2592"/>
    <w:rsid w:val="009E33D7"/>
    <w:rsid w:val="009E3CD1"/>
    <w:rsid w:val="009E495D"/>
    <w:rsid w:val="009E4D40"/>
    <w:rsid w:val="009E5520"/>
    <w:rsid w:val="009E5589"/>
    <w:rsid w:val="009E5AF5"/>
    <w:rsid w:val="009E5D4C"/>
    <w:rsid w:val="009E5EB5"/>
    <w:rsid w:val="009E6221"/>
    <w:rsid w:val="009E698C"/>
    <w:rsid w:val="009E74F0"/>
    <w:rsid w:val="009E7F23"/>
    <w:rsid w:val="009E7FC8"/>
    <w:rsid w:val="009F0768"/>
    <w:rsid w:val="009F081D"/>
    <w:rsid w:val="009F0877"/>
    <w:rsid w:val="009F102A"/>
    <w:rsid w:val="009F11C0"/>
    <w:rsid w:val="009F151C"/>
    <w:rsid w:val="009F1910"/>
    <w:rsid w:val="009F26E5"/>
    <w:rsid w:val="009F2A19"/>
    <w:rsid w:val="009F2D7B"/>
    <w:rsid w:val="009F394E"/>
    <w:rsid w:val="009F399B"/>
    <w:rsid w:val="009F514E"/>
    <w:rsid w:val="009F536A"/>
    <w:rsid w:val="009F5BC5"/>
    <w:rsid w:val="009F65F0"/>
    <w:rsid w:val="009F6AD5"/>
    <w:rsid w:val="009F6BCE"/>
    <w:rsid w:val="009F71D3"/>
    <w:rsid w:val="009F7867"/>
    <w:rsid w:val="009F7CB5"/>
    <w:rsid w:val="009F7D66"/>
    <w:rsid w:val="009F7F0B"/>
    <w:rsid w:val="00A00BD2"/>
    <w:rsid w:val="00A00E56"/>
    <w:rsid w:val="00A016DF"/>
    <w:rsid w:val="00A02651"/>
    <w:rsid w:val="00A027F3"/>
    <w:rsid w:val="00A02D50"/>
    <w:rsid w:val="00A0305C"/>
    <w:rsid w:val="00A03066"/>
    <w:rsid w:val="00A03511"/>
    <w:rsid w:val="00A03978"/>
    <w:rsid w:val="00A03AB1"/>
    <w:rsid w:val="00A03EC2"/>
    <w:rsid w:val="00A043B8"/>
    <w:rsid w:val="00A04921"/>
    <w:rsid w:val="00A04D7E"/>
    <w:rsid w:val="00A051D9"/>
    <w:rsid w:val="00A05633"/>
    <w:rsid w:val="00A05D67"/>
    <w:rsid w:val="00A05DF3"/>
    <w:rsid w:val="00A0617E"/>
    <w:rsid w:val="00A061F2"/>
    <w:rsid w:val="00A0706F"/>
    <w:rsid w:val="00A079A3"/>
    <w:rsid w:val="00A07DFD"/>
    <w:rsid w:val="00A07E08"/>
    <w:rsid w:val="00A07E99"/>
    <w:rsid w:val="00A10A9B"/>
    <w:rsid w:val="00A10CD1"/>
    <w:rsid w:val="00A10D79"/>
    <w:rsid w:val="00A11212"/>
    <w:rsid w:val="00A11535"/>
    <w:rsid w:val="00A11807"/>
    <w:rsid w:val="00A11E56"/>
    <w:rsid w:val="00A11FFC"/>
    <w:rsid w:val="00A1209D"/>
    <w:rsid w:val="00A12798"/>
    <w:rsid w:val="00A1329C"/>
    <w:rsid w:val="00A13A09"/>
    <w:rsid w:val="00A13EEE"/>
    <w:rsid w:val="00A13FC4"/>
    <w:rsid w:val="00A1417D"/>
    <w:rsid w:val="00A14B87"/>
    <w:rsid w:val="00A153BE"/>
    <w:rsid w:val="00A15DEE"/>
    <w:rsid w:val="00A1602C"/>
    <w:rsid w:val="00A16462"/>
    <w:rsid w:val="00A167B5"/>
    <w:rsid w:val="00A16932"/>
    <w:rsid w:val="00A16DBE"/>
    <w:rsid w:val="00A179E0"/>
    <w:rsid w:val="00A17C4F"/>
    <w:rsid w:val="00A201CE"/>
    <w:rsid w:val="00A2025B"/>
    <w:rsid w:val="00A20653"/>
    <w:rsid w:val="00A20A39"/>
    <w:rsid w:val="00A20AC3"/>
    <w:rsid w:val="00A20D26"/>
    <w:rsid w:val="00A21B93"/>
    <w:rsid w:val="00A21D9C"/>
    <w:rsid w:val="00A22059"/>
    <w:rsid w:val="00A2300C"/>
    <w:rsid w:val="00A23220"/>
    <w:rsid w:val="00A238BD"/>
    <w:rsid w:val="00A2391E"/>
    <w:rsid w:val="00A23AA1"/>
    <w:rsid w:val="00A23DCA"/>
    <w:rsid w:val="00A240D8"/>
    <w:rsid w:val="00A242FC"/>
    <w:rsid w:val="00A243E4"/>
    <w:rsid w:val="00A2459D"/>
    <w:rsid w:val="00A24B9B"/>
    <w:rsid w:val="00A24E23"/>
    <w:rsid w:val="00A24FA9"/>
    <w:rsid w:val="00A250D5"/>
    <w:rsid w:val="00A2566C"/>
    <w:rsid w:val="00A25F05"/>
    <w:rsid w:val="00A26491"/>
    <w:rsid w:val="00A2731B"/>
    <w:rsid w:val="00A30103"/>
    <w:rsid w:val="00A301CA"/>
    <w:rsid w:val="00A30528"/>
    <w:rsid w:val="00A309B3"/>
    <w:rsid w:val="00A30B2D"/>
    <w:rsid w:val="00A30CFA"/>
    <w:rsid w:val="00A311AE"/>
    <w:rsid w:val="00A312A6"/>
    <w:rsid w:val="00A3130E"/>
    <w:rsid w:val="00A3150C"/>
    <w:rsid w:val="00A315B1"/>
    <w:rsid w:val="00A31778"/>
    <w:rsid w:val="00A3193B"/>
    <w:rsid w:val="00A32238"/>
    <w:rsid w:val="00A324CF"/>
    <w:rsid w:val="00A32E8B"/>
    <w:rsid w:val="00A32ED6"/>
    <w:rsid w:val="00A32EF5"/>
    <w:rsid w:val="00A33518"/>
    <w:rsid w:val="00A33776"/>
    <w:rsid w:val="00A33C1A"/>
    <w:rsid w:val="00A33EE3"/>
    <w:rsid w:val="00A34119"/>
    <w:rsid w:val="00A344A5"/>
    <w:rsid w:val="00A346C3"/>
    <w:rsid w:val="00A34D4A"/>
    <w:rsid w:val="00A34E96"/>
    <w:rsid w:val="00A35548"/>
    <w:rsid w:val="00A36155"/>
    <w:rsid w:val="00A3629E"/>
    <w:rsid w:val="00A365AD"/>
    <w:rsid w:val="00A36B93"/>
    <w:rsid w:val="00A3794C"/>
    <w:rsid w:val="00A4015F"/>
    <w:rsid w:val="00A4027D"/>
    <w:rsid w:val="00A40FB7"/>
    <w:rsid w:val="00A422FD"/>
    <w:rsid w:val="00A42A85"/>
    <w:rsid w:val="00A42D07"/>
    <w:rsid w:val="00A42ED4"/>
    <w:rsid w:val="00A431FD"/>
    <w:rsid w:val="00A43742"/>
    <w:rsid w:val="00A44B43"/>
    <w:rsid w:val="00A4503E"/>
    <w:rsid w:val="00A450C0"/>
    <w:rsid w:val="00A45468"/>
    <w:rsid w:val="00A45484"/>
    <w:rsid w:val="00A45F16"/>
    <w:rsid w:val="00A4601D"/>
    <w:rsid w:val="00A46CEC"/>
    <w:rsid w:val="00A471A8"/>
    <w:rsid w:val="00A4791B"/>
    <w:rsid w:val="00A47B78"/>
    <w:rsid w:val="00A505F7"/>
    <w:rsid w:val="00A50A48"/>
    <w:rsid w:val="00A50DDA"/>
    <w:rsid w:val="00A5103E"/>
    <w:rsid w:val="00A51180"/>
    <w:rsid w:val="00A51242"/>
    <w:rsid w:val="00A51522"/>
    <w:rsid w:val="00A51573"/>
    <w:rsid w:val="00A51A5E"/>
    <w:rsid w:val="00A52259"/>
    <w:rsid w:val="00A5231D"/>
    <w:rsid w:val="00A52895"/>
    <w:rsid w:val="00A52D7D"/>
    <w:rsid w:val="00A539A5"/>
    <w:rsid w:val="00A53DA0"/>
    <w:rsid w:val="00A5404D"/>
    <w:rsid w:val="00A54F99"/>
    <w:rsid w:val="00A555A7"/>
    <w:rsid w:val="00A5570C"/>
    <w:rsid w:val="00A55B0D"/>
    <w:rsid w:val="00A56256"/>
    <w:rsid w:val="00A56725"/>
    <w:rsid w:val="00A5718D"/>
    <w:rsid w:val="00A5765D"/>
    <w:rsid w:val="00A577F1"/>
    <w:rsid w:val="00A579BD"/>
    <w:rsid w:val="00A607CB"/>
    <w:rsid w:val="00A61092"/>
    <w:rsid w:val="00A61306"/>
    <w:rsid w:val="00A61803"/>
    <w:rsid w:val="00A61FA1"/>
    <w:rsid w:val="00A6269E"/>
    <w:rsid w:val="00A626CE"/>
    <w:rsid w:val="00A6351F"/>
    <w:rsid w:val="00A63809"/>
    <w:rsid w:val="00A63DCA"/>
    <w:rsid w:val="00A63F04"/>
    <w:rsid w:val="00A6411C"/>
    <w:rsid w:val="00A64278"/>
    <w:rsid w:val="00A64434"/>
    <w:rsid w:val="00A64A6E"/>
    <w:rsid w:val="00A6519F"/>
    <w:rsid w:val="00A6563D"/>
    <w:rsid w:val="00A65931"/>
    <w:rsid w:val="00A65A70"/>
    <w:rsid w:val="00A65E0B"/>
    <w:rsid w:val="00A66417"/>
    <w:rsid w:val="00A6665F"/>
    <w:rsid w:val="00A66F00"/>
    <w:rsid w:val="00A66F36"/>
    <w:rsid w:val="00A67610"/>
    <w:rsid w:val="00A676D9"/>
    <w:rsid w:val="00A67DF1"/>
    <w:rsid w:val="00A67EFC"/>
    <w:rsid w:val="00A7031E"/>
    <w:rsid w:val="00A7051B"/>
    <w:rsid w:val="00A707A5"/>
    <w:rsid w:val="00A71140"/>
    <w:rsid w:val="00A7157D"/>
    <w:rsid w:val="00A7205E"/>
    <w:rsid w:val="00A72ACC"/>
    <w:rsid w:val="00A73922"/>
    <w:rsid w:val="00A73D24"/>
    <w:rsid w:val="00A7439F"/>
    <w:rsid w:val="00A74692"/>
    <w:rsid w:val="00A74F63"/>
    <w:rsid w:val="00A7507C"/>
    <w:rsid w:val="00A75924"/>
    <w:rsid w:val="00A759B8"/>
    <w:rsid w:val="00A75A52"/>
    <w:rsid w:val="00A7618B"/>
    <w:rsid w:val="00A7640B"/>
    <w:rsid w:val="00A76B43"/>
    <w:rsid w:val="00A770FA"/>
    <w:rsid w:val="00A773A8"/>
    <w:rsid w:val="00A7778B"/>
    <w:rsid w:val="00A77A67"/>
    <w:rsid w:val="00A803BC"/>
    <w:rsid w:val="00A80476"/>
    <w:rsid w:val="00A80969"/>
    <w:rsid w:val="00A80C7C"/>
    <w:rsid w:val="00A81547"/>
    <w:rsid w:val="00A8307A"/>
    <w:rsid w:val="00A83DA4"/>
    <w:rsid w:val="00A856D6"/>
    <w:rsid w:val="00A85798"/>
    <w:rsid w:val="00A85C6A"/>
    <w:rsid w:val="00A8609D"/>
    <w:rsid w:val="00A86304"/>
    <w:rsid w:val="00A86EA7"/>
    <w:rsid w:val="00A87598"/>
    <w:rsid w:val="00A875F7"/>
    <w:rsid w:val="00A87B04"/>
    <w:rsid w:val="00A911A0"/>
    <w:rsid w:val="00A91244"/>
    <w:rsid w:val="00A91774"/>
    <w:rsid w:val="00A91C7F"/>
    <w:rsid w:val="00A92066"/>
    <w:rsid w:val="00A92179"/>
    <w:rsid w:val="00A92776"/>
    <w:rsid w:val="00A93145"/>
    <w:rsid w:val="00A93181"/>
    <w:rsid w:val="00A9380F"/>
    <w:rsid w:val="00A938E6"/>
    <w:rsid w:val="00A93CCF"/>
    <w:rsid w:val="00A9416B"/>
    <w:rsid w:val="00A94523"/>
    <w:rsid w:val="00A94B5A"/>
    <w:rsid w:val="00A94E4E"/>
    <w:rsid w:val="00A95514"/>
    <w:rsid w:val="00A95634"/>
    <w:rsid w:val="00A95BD5"/>
    <w:rsid w:val="00A95C53"/>
    <w:rsid w:val="00A95F21"/>
    <w:rsid w:val="00A95F65"/>
    <w:rsid w:val="00A96097"/>
    <w:rsid w:val="00A96F78"/>
    <w:rsid w:val="00A96FBE"/>
    <w:rsid w:val="00A97274"/>
    <w:rsid w:val="00A979E1"/>
    <w:rsid w:val="00A97F3C"/>
    <w:rsid w:val="00AA04E6"/>
    <w:rsid w:val="00AA0B9E"/>
    <w:rsid w:val="00AA1087"/>
    <w:rsid w:val="00AA161A"/>
    <w:rsid w:val="00AA22E4"/>
    <w:rsid w:val="00AA247C"/>
    <w:rsid w:val="00AA25A9"/>
    <w:rsid w:val="00AA26D9"/>
    <w:rsid w:val="00AA278A"/>
    <w:rsid w:val="00AA2822"/>
    <w:rsid w:val="00AA3183"/>
    <w:rsid w:val="00AA3A2E"/>
    <w:rsid w:val="00AA3BBC"/>
    <w:rsid w:val="00AA3E55"/>
    <w:rsid w:val="00AA4605"/>
    <w:rsid w:val="00AA4927"/>
    <w:rsid w:val="00AA4C96"/>
    <w:rsid w:val="00AA5082"/>
    <w:rsid w:val="00AA51AD"/>
    <w:rsid w:val="00AA591E"/>
    <w:rsid w:val="00AA5C5C"/>
    <w:rsid w:val="00AA5D66"/>
    <w:rsid w:val="00AA5DF4"/>
    <w:rsid w:val="00AA6250"/>
    <w:rsid w:val="00AA6445"/>
    <w:rsid w:val="00AA65C9"/>
    <w:rsid w:val="00AA66CB"/>
    <w:rsid w:val="00AA7867"/>
    <w:rsid w:val="00AA7C6D"/>
    <w:rsid w:val="00AB0347"/>
    <w:rsid w:val="00AB0A32"/>
    <w:rsid w:val="00AB0B90"/>
    <w:rsid w:val="00AB0E56"/>
    <w:rsid w:val="00AB0ED5"/>
    <w:rsid w:val="00AB18AC"/>
    <w:rsid w:val="00AB1BC9"/>
    <w:rsid w:val="00AB1EB7"/>
    <w:rsid w:val="00AB2D29"/>
    <w:rsid w:val="00AB395E"/>
    <w:rsid w:val="00AB3A15"/>
    <w:rsid w:val="00AB3EF2"/>
    <w:rsid w:val="00AB40C3"/>
    <w:rsid w:val="00AB4BE0"/>
    <w:rsid w:val="00AB4DED"/>
    <w:rsid w:val="00AB4ECC"/>
    <w:rsid w:val="00AB4F0F"/>
    <w:rsid w:val="00AB5127"/>
    <w:rsid w:val="00AB53E3"/>
    <w:rsid w:val="00AB60E2"/>
    <w:rsid w:val="00AB6427"/>
    <w:rsid w:val="00AB6601"/>
    <w:rsid w:val="00AB674E"/>
    <w:rsid w:val="00AB6D79"/>
    <w:rsid w:val="00AB709E"/>
    <w:rsid w:val="00AB7396"/>
    <w:rsid w:val="00AB7806"/>
    <w:rsid w:val="00AB7843"/>
    <w:rsid w:val="00AC02C1"/>
    <w:rsid w:val="00AC062A"/>
    <w:rsid w:val="00AC081A"/>
    <w:rsid w:val="00AC0AB6"/>
    <w:rsid w:val="00AC0FA4"/>
    <w:rsid w:val="00AC10AD"/>
    <w:rsid w:val="00AC17CD"/>
    <w:rsid w:val="00AC1E55"/>
    <w:rsid w:val="00AC3D05"/>
    <w:rsid w:val="00AC3D06"/>
    <w:rsid w:val="00AC427B"/>
    <w:rsid w:val="00AC429F"/>
    <w:rsid w:val="00AC4402"/>
    <w:rsid w:val="00AC447C"/>
    <w:rsid w:val="00AC4B05"/>
    <w:rsid w:val="00AC60B4"/>
    <w:rsid w:val="00AC610E"/>
    <w:rsid w:val="00AC61A4"/>
    <w:rsid w:val="00AC67B6"/>
    <w:rsid w:val="00AC6B41"/>
    <w:rsid w:val="00AC7905"/>
    <w:rsid w:val="00AC7B2F"/>
    <w:rsid w:val="00AC7D98"/>
    <w:rsid w:val="00AD00C5"/>
    <w:rsid w:val="00AD044D"/>
    <w:rsid w:val="00AD05BB"/>
    <w:rsid w:val="00AD165F"/>
    <w:rsid w:val="00AD24CB"/>
    <w:rsid w:val="00AD2794"/>
    <w:rsid w:val="00AD2DC5"/>
    <w:rsid w:val="00AD30B7"/>
    <w:rsid w:val="00AD31E4"/>
    <w:rsid w:val="00AD3455"/>
    <w:rsid w:val="00AD3CAD"/>
    <w:rsid w:val="00AD432E"/>
    <w:rsid w:val="00AD4E00"/>
    <w:rsid w:val="00AD573F"/>
    <w:rsid w:val="00AD5A99"/>
    <w:rsid w:val="00AD69FF"/>
    <w:rsid w:val="00AD702B"/>
    <w:rsid w:val="00AD7063"/>
    <w:rsid w:val="00AD706D"/>
    <w:rsid w:val="00AD72E6"/>
    <w:rsid w:val="00AD7370"/>
    <w:rsid w:val="00AD7675"/>
    <w:rsid w:val="00AD7C95"/>
    <w:rsid w:val="00AD7FCD"/>
    <w:rsid w:val="00AD86E7"/>
    <w:rsid w:val="00AE0C78"/>
    <w:rsid w:val="00AE0DCE"/>
    <w:rsid w:val="00AE1220"/>
    <w:rsid w:val="00AE2912"/>
    <w:rsid w:val="00AE2AB0"/>
    <w:rsid w:val="00AE2BED"/>
    <w:rsid w:val="00AE3228"/>
    <w:rsid w:val="00AE3DE1"/>
    <w:rsid w:val="00AE3EA0"/>
    <w:rsid w:val="00AE3EE4"/>
    <w:rsid w:val="00AE5439"/>
    <w:rsid w:val="00AE5BB3"/>
    <w:rsid w:val="00AE60E8"/>
    <w:rsid w:val="00AE61B2"/>
    <w:rsid w:val="00AE78D1"/>
    <w:rsid w:val="00AE7EF0"/>
    <w:rsid w:val="00AE7F89"/>
    <w:rsid w:val="00AE7FFC"/>
    <w:rsid w:val="00AF02F2"/>
    <w:rsid w:val="00AF0410"/>
    <w:rsid w:val="00AF06BF"/>
    <w:rsid w:val="00AF0E5F"/>
    <w:rsid w:val="00AF16A6"/>
    <w:rsid w:val="00AF16F2"/>
    <w:rsid w:val="00AF19C3"/>
    <w:rsid w:val="00AF2229"/>
    <w:rsid w:val="00AF28B9"/>
    <w:rsid w:val="00AF2D54"/>
    <w:rsid w:val="00AF2F3C"/>
    <w:rsid w:val="00AF3458"/>
    <w:rsid w:val="00AF3F7B"/>
    <w:rsid w:val="00AF42B4"/>
    <w:rsid w:val="00AF4B8A"/>
    <w:rsid w:val="00AF4F1B"/>
    <w:rsid w:val="00AF53AD"/>
    <w:rsid w:val="00AF5EC6"/>
    <w:rsid w:val="00AF64F5"/>
    <w:rsid w:val="00AF6874"/>
    <w:rsid w:val="00AF6C38"/>
    <w:rsid w:val="00AF6E8A"/>
    <w:rsid w:val="00AF7213"/>
    <w:rsid w:val="00AF7771"/>
    <w:rsid w:val="00AF79AD"/>
    <w:rsid w:val="00AF7D92"/>
    <w:rsid w:val="00B00334"/>
    <w:rsid w:val="00B0078E"/>
    <w:rsid w:val="00B011CC"/>
    <w:rsid w:val="00B01C87"/>
    <w:rsid w:val="00B02548"/>
    <w:rsid w:val="00B03626"/>
    <w:rsid w:val="00B03F09"/>
    <w:rsid w:val="00B04004"/>
    <w:rsid w:val="00B04048"/>
    <w:rsid w:val="00B0411E"/>
    <w:rsid w:val="00B042DA"/>
    <w:rsid w:val="00B04F3D"/>
    <w:rsid w:val="00B05702"/>
    <w:rsid w:val="00B05D0C"/>
    <w:rsid w:val="00B0627C"/>
    <w:rsid w:val="00B06DD9"/>
    <w:rsid w:val="00B07293"/>
    <w:rsid w:val="00B07CD6"/>
    <w:rsid w:val="00B07E52"/>
    <w:rsid w:val="00B10010"/>
    <w:rsid w:val="00B11687"/>
    <w:rsid w:val="00B11775"/>
    <w:rsid w:val="00B11A53"/>
    <w:rsid w:val="00B12788"/>
    <w:rsid w:val="00B12F75"/>
    <w:rsid w:val="00B13002"/>
    <w:rsid w:val="00B1302D"/>
    <w:rsid w:val="00B14034"/>
    <w:rsid w:val="00B14761"/>
    <w:rsid w:val="00B1513F"/>
    <w:rsid w:val="00B1568F"/>
    <w:rsid w:val="00B15989"/>
    <w:rsid w:val="00B15B89"/>
    <w:rsid w:val="00B169B6"/>
    <w:rsid w:val="00B16CF0"/>
    <w:rsid w:val="00B1746F"/>
    <w:rsid w:val="00B177D5"/>
    <w:rsid w:val="00B17E8D"/>
    <w:rsid w:val="00B20725"/>
    <w:rsid w:val="00B2087E"/>
    <w:rsid w:val="00B20B11"/>
    <w:rsid w:val="00B20B94"/>
    <w:rsid w:val="00B2110D"/>
    <w:rsid w:val="00B21CE2"/>
    <w:rsid w:val="00B22A61"/>
    <w:rsid w:val="00B2324B"/>
    <w:rsid w:val="00B23A22"/>
    <w:rsid w:val="00B23DC5"/>
    <w:rsid w:val="00B24276"/>
    <w:rsid w:val="00B248D0"/>
    <w:rsid w:val="00B25B9E"/>
    <w:rsid w:val="00B25DD1"/>
    <w:rsid w:val="00B2628E"/>
    <w:rsid w:val="00B2633B"/>
    <w:rsid w:val="00B26586"/>
    <w:rsid w:val="00B26610"/>
    <w:rsid w:val="00B266B0"/>
    <w:rsid w:val="00B26BAA"/>
    <w:rsid w:val="00B26D0A"/>
    <w:rsid w:val="00B270F3"/>
    <w:rsid w:val="00B27921"/>
    <w:rsid w:val="00B27AF1"/>
    <w:rsid w:val="00B3000E"/>
    <w:rsid w:val="00B3091E"/>
    <w:rsid w:val="00B30B8B"/>
    <w:rsid w:val="00B3122B"/>
    <w:rsid w:val="00B31787"/>
    <w:rsid w:val="00B320E7"/>
    <w:rsid w:val="00B326A8"/>
    <w:rsid w:val="00B3291A"/>
    <w:rsid w:val="00B329EB"/>
    <w:rsid w:val="00B32FCD"/>
    <w:rsid w:val="00B33508"/>
    <w:rsid w:val="00B33716"/>
    <w:rsid w:val="00B3377E"/>
    <w:rsid w:val="00B338E0"/>
    <w:rsid w:val="00B33BEE"/>
    <w:rsid w:val="00B341F4"/>
    <w:rsid w:val="00B34E63"/>
    <w:rsid w:val="00B35497"/>
    <w:rsid w:val="00B35DA4"/>
    <w:rsid w:val="00B366B2"/>
    <w:rsid w:val="00B36F27"/>
    <w:rsid w:val="00B376AD"/>
    <w:rsid w:val="00B37831"/>
    <w:rsid w:val="00B40197"/>
    <w:rsid w:val="00B40A96"/>
    <w:rsid w:val="00B41456"/>
    <w:rsid w:val="00B4184B"/>
    <w:rsid w:val="00B41858"/>
    <w:rsid w:val="00B41C1E"/>
    <w:rsid w:val="00B41F35"/>
    <w:rsid w:val="00B41F92"/>
    <w:rsid w:val="00B422A7"/>
    <w:rsid w:val="00B42376"/>
    <w:rsid w:val="00B42948"/>
    <w:rsid w:val="00B42A32"/>
    <w:rsid w:val="00B42DAB"/>
    <w:rsid w:val="00B42FA6"/>
    <w:rsid w:val="00B4399E"/>
    <w:rsid w:val="00B43A16"/>
    <w:rsid w:val="00B43DFE"/>
    <w:rsid w:val="00B45C3C"/>
    <w:rsid w:val="00B45CE1"/>
    <w:rsid w:val="00B4624E"/>
    <w:rsid w:val="00B46544"/>
    <w:rsid w:val="00B46920"/>
    <w:rsid w:val="00B46A75"/>
    <w:rsid w:val="00B470A7"/>
    <w:rsid w:val="00B476AF"/>
    <w:rsid w:val="00B500CD"/>
    <w:rsid w:val="00B5030F"/>
    <w:rsid w:val="00B5109D"/>
    <w:rsid w:val="00B5239C"/>
    <w:rsid w:val="00B53259"/>
    <w:rsid w:val="00B5370A"/>
    <w:rsid w:val="00B53893"/>
    <w:rsid w:val="00B539E3"/>
    <w:rsid w:val="00B53DB2"/>
    <w:rsid w:val="00B543D8"/>
    <w:rsid w:val="00B54512"/>
    <w:rsid w:val="00B545C7"/>
    <w:rsid w:val="00B548C2"/>
    <w:rsid w:val="00B54B6A"/>
    <w:rsid w:val="00B55428"/>
    <w:rsid w:val="00B556C5"/>
    <w:rsid w:val="00B561C3"/>
    <w:rsid w:val="00B56E51"/>
    <w:rsid w:val="00B570BF"/>
    <w:rsid w:val="00B5789A"/>
    <w:rsid w:val="00B578E9"/>
    <w:rsid w:val="00B60471"/>
    <w:rsid w:val="00B60B8F"/>
    <w:rsid w:val="00B61138"/>
    <w:rsid w:val="00B625CC"/>
    <w:rsid w:val="00B629AD"/>
    <w:rsid w:val="00B62A7F"/>
    <w:rsid w:val="00B62D97"/>
    <w:rsid w:val="00B62EB7"/>
    <w:rsid w:val="00B62F90"/>
    <w:rsid w:val="00B63337"/>
    <w:rsid w:val="00B6369F"/>
    <w:rsid w:val="00B639D7"/>
    <w:rsid w:val="00B64582"/>
    <w:rsid w:val="00B648A4"/>
    <w:rsid w:val="00B64AA1"/>
    <w:rsid w:val="00B64AA7"/>
    <w:rsid w:val="00B64CC1"/>
    <w:rsid w:val="00B65452"/>
    <w:rsid w:val="00B65CA7"/>
    <w:rsid w:val="00B6622E"/>
    <w:rsid w:val="00B664BF"/>
    <w:rsid w:val="00B66594"/>
    <w:rsid w:val="00B66B0E"/>
    <w:rsid w:val="00B66C7C"/>
    <w:rsid w:val="00B66F21"/>
    <w:rsid w:val="00B672FD"/>
    <w:rsid w:val="00B676EC"/>
    <w:rsid w:val="00B67805"/>
    <w:rsid w:val="00B70106"/>
    <w:rsid w:val="00B701FE"/>
    <w:rsid w:val="00B7057D"/>
    <w:rsid w:val="00B70EE9"/>
    <w:rsid w:val="00B70F63"/>
    <w:rsid w:val="00B71BAC"/>
    <w:rsid w:val="00B71CA8"/>
    <w:rsid w:val="00B721CD"/>
    <w:rsid w:val="00B7267A"/>
    <w:rsid w:val="00B726FF"/>
    <w:rsid w:val="00B7284D"/>
    <w:rsid w:val="00B72A5B"/>
    <w:rsid w:val="00B72AA4"/>
    <w:rsid w:val="00B72B16"/>
    <w:rsid w:val="00B73060"/>
    <w:rsid w:val="00B73073"/>
    <w:rsid w:val="00B73F2C"/>
    <w:rsid w:val="00B75454"/>
    <w:rsid w:val="00B76BCD"/>
    <w:rsid w:val="00B76EE9"/>
    <w:rsid w:val="00B77231"/>
    <w:rsid w:val="00B77611"/>
    <w:rsid w:val="00B77880"/>
    <w:rsid w:val="00B779C7"/>
    <w:rsid w:val="00B77B84"/>
    <w:rsid w:val="00B77CAB"/>
    <w:rsid w:val="00B80004"/>
    <w:rsid w:val="00B80027"/>
    <w:rsid w:val="00B8099D"/>
    <w:rsid w:val="00B80D90"/>
    <w:rsid w:val="00B80F3C"/>
    <w:rsid w:val="00B81DF7"/>
    <w:rsid w:val="00B81FDC"/>
    <w:rsid w:val="00B82613"/>
    <w:rsid w:val="00B828B5"/>
    <w:rsid w:val="00B82ED8"/>
    <w:rsid w:val="00B82F2F"/>
    <w:rsid w:val="00B83E1B"/>
    <w:rsid w:val="00B845D0"/>
    <w:rsid w:val="00B84619"/>
    <w:rsid w:val="00B84766"/>
    <w:rsid w:val="00B84A80"/>
    <w:rsid w:val="00B84E9C"/>
    <w:rsid w:val="00B853C4"/>
    <w:rsid w:val="00B85522"/>
    <w:rsid w:val="00B85576"/>
    <w:rsid w:val="00B85B92"/>
    <w:rsid w:val="00B85CEF"/>
    <w:rsid w:val="00B862E0"/>
    <w:rsid w:val="00B877DD"/>
    <w:rsid w:val="00B87CC3"/>
    <w:rsid w:val="00B90E2A"/>
    <w:rsid w:val="00B90F2A"/>
    <w:rsid w:val="00B910A6"/>
    <w:rsid w:val="00B9198D"/>
    <w:rsid w:val="00B91AEF"/>
    <w:rsid w:val="00B91DB7"/>
    <w:rsid w:val="00B92D25"/>
    <w:rsid w:val="00B93008"/>
    <w:rsid w:val="00B9406D"/>
    <w:rsid w:val="00B944D9"/>
    <w:rsid w:val="00B94BA7"/>
    <w:rsid w:val="00B94E0E"/>
    <w:rsid w:val="00B9515B"/>
    <w:rsid w:val="00B958AE"/>
    <w:rsid w:val="00B958F3"/>
    <w:rsid w:val="00B95DC2"/>
    <w:rsid w:val="00B96413"/>
    <w:rsid w:val="00B96B80"/>
    <w:rsid w:val="00B97CA3"/>
    <w:rsid w:val="00BA0060"/>
    <w:rsid w:val="00BA1104"/>
    <w:rsid w:val="00BA167C"/>
    <w:rsid w:val="00BA1872"/>
    <w:rsid w:val="00BA1913"/>
    <w:rsid w:val="00BA27C9"/>
    <w:rsid w:val="00BA2BC9"/>
    <w:rsid w:val="00BA405C"/>
    <w:rsid w:val="00BA4291"/>
    <w:rsid w:val="00BA4641"/>
    <w:rsid w:val="00BA4A54"/>
    <w:rsid w:val="00BA4C3A"/>
    <w:rsid w:val="00BA4DF6"/>
    <w:rsid w:val="00BA50E6"/>
    <w:rsid w:val="00BA50EB"/>
    <w:rsid w:val="00BA5429"/>
    <w:rsid w:val="00BA5BDE"/>
    <w:rsid w:val="00BA5DDE"/>
    <w:rsid w:val="00BA6283"/>
    <w:rsid w:val="00BA66FB"/>
    <w:rsid w:val="00BA6BAF"/>
    <w:rsid w:val="00BA6CE2"/>
    <w:rsid w:val="00BA6ED1"/>
    <w:rsid w:val="00BA7205"/>
    <w:rsid w:val="00BA76A9"/>
    <w:rsid w:val="00BA79C5"/>
    <w:rsid w:val="00BA7E3F"/>
    <w:rsid w:val="00BA7E48"/>
    <w:rsid w:val="00BA7EA2"/>
    <w:rsid w:val="00BB0094"/>
    <w:rsid w:val="00BB0595"/>
    <w:rsid w:val="00BB153F"/>
    <w:rsid w:val="00BB1591"/>
    <w:rsid w:val="00BB1AE2"/>
    <w:rsid w:val="00BB1C06"/>
    <w:rsid w:val="00BB20AB"/>
    <w:rsid w:val="00BB213A"/>
    <w:rsid w:val="00BB24BA"/>
    <w:rsid w:val="00BB2F36"/>
    <w:rsid w:val="00BB3097"/>
    <w:rsid w:val="00BB3432"/>
    <w:rsid w:val="00BB38F5"/>
    <w:rsid w:val="00BB3E2B"/>
    <w:rsid w:val="00BB3F2B"/>
    <w:rsid w:val="00BB4244"/>
    <w:rsid w:val="00BB492C"/>
    <w:rsid w:val="00BB50F2"/>
    <w:rsid w:val="00BB53DA"/>
    <w:rsid w:val="00BB5D1C"/>
    <w:rsid w:val="00BB6216"/>
    <w:rsid w:val="00BB6552"/>
    <w:rsid w:val="00BB65E0"/>
    <w:rsid w:val="00BB6826"/>
    <w:rsid w:val="00BB6B9B"/>
    <w:rsid w:val="00BB754F"/>
    <w:rsid w:val="00BC0058"/>
    <w:rsid w:val="00BC07D4"/>
    <w:rsid w:val="00BC0A5D"/>
    <w:rsid w:val="00BC0BE3"/>
    <w:rsid w:val="00BC0EA3"/>
    <w:rsid w:val="00BC10B2"/>
    <w:rsid w:val="00BC1468"/>
    <w:rsid w:val="00BC1AD9"/>
    <w:rsid w:val="00BC1B7A"/>
    <w:rsid w:val="00BC31C8"/>
    <w:rsid w:val="00BC3257"/>
    <w:rsid w:val="00BC32E7"/>
    <w:rsid w:val="00BC37DE"/>
    <w:rsid w:val="00BC4D35"/>
    <w:rsid w:val="00BC4F81"/>
    <w:rsid w:val="00BC5670"/>
    <w:rsid w:val="00BC58B9"/>
    <w:rsid w:val="00BC5D69"/>
    <w:rsid w:val="00BC60AC"/>
    <w:rsid w:val="00BC6461"/>
    <w:rsid w:val="00BC676D"/>
    <w:rsid w:val="00BC6858"/>
    <w:rsid w:val="00BC6E00"/>
    <w:rsid w:val="00BC78D4"/>
    <w:rsid w:val="00BD0EBC"/>
    <w:rsid w:val="00BD143F"/>
    <w:rsid w:val="00BD2744"/>
    <w:rsid w:val="00BD2F13"/>
    <w:rsid w:val="00BD3056"/>
    <w:rsid w:val="00BD3846"/>
    <w:rsid w:val="00BD3E68"/>
    <w:rsid w:val="00BD4E05"/>
    <w:rsid w:val="00BD4EEA"/>
    <w:rsid w:val="00BD5200"/>
    <w:rsid w:val="00BD5951"/>
    <w:rsid w:val="00BD598A"/>
    <w:rsid w:val="00BD5C68"/>
    <w:rsid w:val="00BD5C7A"/>
    <w:rsid w:val="00BD6F05"/>
    <w:rsid w:val="00BD723F"/>
    <w:rsid w:val="00BD75B4"/>
    <w:rsid w:val="00BD7B41"/>
    <w:rsid w:val="00BD7D14"/>
    <w:rsid w:val="00BD7DBD"/>
    <w:rsid w:val="00BE02B4"/>
    <w:rsid w:val="00BE06D0"/>
    <w:rsid w:val="00BE08DC"/>
    <w:rsid w:val="00BE0D3C"/>
    <w:rsid w:val="00BE2036"/>
    <w:rsid w:val="00BE28C1"/>
    <w:rsid w:val="00BE2ACB"/>
    <w:rsid w:val="00BE3492"/>
    <w:rsid w:val="00BE3B62"/>
    <w:rsid w:val="00BE40FD"/>
    <w:rsid w:val="00BE432C"/>
    <w:rsid w:val="00BE48BF"/>
    <w:rsid w:val="00BE4EC9"/>
    <w:rsid w:val="00BE50AE"/>
    <w:rsid w:val="00BE51A5"/>
    <w:rsid w:val="00BE608B"/>
    <w:rsid w:val="00BE631E"/>
    <w:rsid w:val="00BE6BEC"/>
    <w:rsid w:val="00BE71A7"/>
    <w:rsid w:val="00BF01D9"/>
    <w:rsid w:val="00BF01F8"/>
    <w:rsid w:val="00BF09F0"/>
    <w:rsid w:val="00BF0CCF"/>
    <w:rsid w:val="00BF0FC5"/>
    <w:rsid w:val="00BF10BC"/>
    <w:rsid w:val="00BF1879"/>
    <w:rsid w:val="00BF21AC"/>
    <w:rsid w:val="00BF2E53"/>
    <w:rsid w:val="00BF2F67"/>
    <w:rsid w:val="00BF352A"/>
    <w:rsid w:val="00BF3669"/>
    <w:rsid w:val="00BF3C0D"/>
    <w:rsid w:val="00BF4029"/>
    <w:rsid w:val="00BF4BC7"/>
    <w:rsid w:val="00BF5038"/>
    <w:rsid w:val="00BF539D"/>
    <w:rsid w:val="00BF6252"/>
    <w:rsid w:val="00BF6E82"/>
    <w:rsid w:val="00BF711C"/>
    <w:rsid w:val="00BF748E"/>
    <w:rsid w:val="00BF789B"/>
    <w:rsid w:val="00BF7C3C"/>
    <w:rsid w:val="00C004AD"/>
    <w:rsid w:val="00C00B6C"/>
    <w:rsid w:val="00C01901"/>
    <w:rsid w:val="00C0219C"/>
    <w:rsid w:val="00C02542"/>
    <w:rsid w:val="00C03309"/>
    <w:rsid w:val="00C037E0"/>
    <w:rsid w:val="00C03853"/>
    <w:rsid w:val="00C0395F"/>
    <w:rsid w:val="00C03E8A"/>
    <w:rsid w:val="00C04112"/>
    <w:rsid w:val="00C04B14"/>
    <w:rsid w:val="00C04E8D"/>
    <w:rsid w:val="00C04F47"/>
    <w:rsid w:val="00C052E5"/>
    <w:rsid w:val="00C05A3E"/>
    <w:rsid w:val="00C05E5E"/>
    <w:rsid w:val="00C065E2"/>
    <w:rsid w:val="00C072FE"/>
    <w:rsid w:val="00C07FC1"/>
    <w:rsid w:val="00C11659"/>
    <w:rsid w:val="00C11ADE"/>
    <w:rsid w:val="00C11ADF"/>
    <w:rsid w:val="00C126E0"/>
    <w:rsid w:val="00C128BC"/>
    <w:rsid w:val="00C12C2B"/>
    <w:rsid w:val="00C12E39"/>
    <w:rsid w:val="00C13C48"/>
    <w:rsid w:val="00C13D47"/>
    <w:rsid w:val="00C14164"/>
    <w:rsid w:val="00C146AA"/>
    <w:rsid w:val="00C14C53"/>
    <w:rsid w:val="00C15D8E"/>
    <w:rsid w:val="00C17012"/>
    <w:rsid w:val="00C1720C"/>
    <w:rsid w:val="00C1752F"/>
    <w:rsid w:val="00C1788A"/>
    <w:rsid w:val="00C178FB"/>
    <w:rsid w:val="00C17DF9"/>
    <w:rsid w:val="00C17E1C"/>
    <w:rsid w:val="00C201EB"/>
    <w:rsid w:val="00C202E4"/>
    <w:rsid w:val="00C20ACC"/>
    <w:rsid w:val="00C20BD9"/>
    <w:rsid w:val="00C20FB2"/>
    <w:rsid w:val="00C2236B"/>
    <w:rsid w:val="00C22B28"/>
    <w:rsid w:val="00C22FD2"/>
    <w:rsid w:val="00C24058"/>
    <w:rsid w:val="00C24893"/>
    <w:rsid w:val="00C24C99"/>
    <w:rsid w:val="00C257B7"/>
    <w:rsid w:val="00C25B5B"/>
    <w:rsid w:val="00C25C92"/>
    <w:rsid w:val="00C26688"/>
    <w:rsid w:val="00C26F92"/>
    <w:rsid w:val="00C27170"/>
    <w:rsid w:val="00C2720D"/>
    <w:rsid w:val="00C272E8"/>
    <w:rsid w:val="00C2749F"/>
    <w:rsid w:val="00C2768A"/>
    <w:rsid w:val="00C27AC7"/>
    <w:rsid w:val="00C27AF2"/>
    <w:rsid w:val="00C27B98"/>
    <w:rsid w:val="00C30064"/>
    <w:rsid w:val="00C301A9"/>
    <w:rsid w:val="00C307EF"/>
    <w:rsid w:val="00C30ABC"/>
    <w:rsid w:val="00C30B60"/>
    <w:rsid w:val="00C3104C"/>
    <w:rsid w:val="00C31FAA"/>
    <w:rsid w:val="00C33359"/>
    <w:rsid w:val="00C333FD"/>
    <w:rsid w:val="00C33556"/>
    <w:rsid w:val="00C33974"/>
    <w:rsid w:val="00C33C12"/>
    <w:rsid w:val="00C34313"/>
    <w:rsid w:val="00C348D6"/>
    <w:rsid w:val="00C3504C"/>
    <w:rsid w:val="00C351FE"/>
    <w:rsid w:val="00C365E7"/>
    <w:rsid w:val="00C36E34"/>
    <w:rsid w:val="00C37EBD"/>
    <w:rsid w:val="00C40388"/>
    <w:rsid w:val="00C404D7"/>
    <w:rsid w:val="00C404EE"/>
    <w:rsid w:val="00C4171B"/>
    <w:rsid w:val="00C41DEC"/>
    <w:rsid w:val="00C42689"/>
    <w:rsid w:val="00C42988"/>
    <w:rsid w:val="00C42AD8"/>
    <w:rsid w:val="00C42B71"/>
    <w:rsid w:val="00C42BD4"/>
    <w:rsid w:val="00C42C80"/>
    <w:rsid w:val="00C42D84"/>
    <w:rsid w:val="00C4372B"/>
    <w:rsid w:val="00C43770"/>
    <w:rsid w:val="00C43C9A"/>
    <w:rsid w:val="00C43FF0"/>
    <w:rsid w:val="00C44124"/>
    <w:rsid w:val="00C442B9"/>
    <w:rsid w:val="00C44641"/>
    <w:rsid w:val="00C455B8"/>
    <w:rsid w:val="00C457EB"/>
    <w:rsid w:val="00C45EF5"/>
    <w:rsid w:val="00C46B7E"/>
    <w:rsid w:val="00C474D6"/>
    <w:rsid w:val="00C47538"/>
    <w:rsid w:val="00C47C24"/>
    <w:rsid w:val="00C50046"/>
    <w:rsid w:val="00C5099B"/>
    <w:rsid w:val="00C50A4E"/>
    <w:rsid w:val="00C5195A"/>
    <w:rsid w:val="00C51C37"/>
    <w:rsid w:val="00C520B1"/>
    <w:rsid w:val="00C522D6"/>
    <w:rsid w:val="00C52C52"/>
    <w:rsid w:val="00C539E8"/>
    <w:rsid w:val="00C54020"/>
    <w:rsid w:val="00C5406F"/>
    <w:rsid w:val="00C545C5"/>
    <w:rsid w:val="00C54817"/>
    <w:rsid w:val="00C54F35"/>
    <w:rsid w:val="00C54FED"/>
    <w:rsid w:val="00C552D4"/>
    <w:rsid w:val="00C552F4"/>
    <w:rsid w:val="00C55311"/>
    <w:rsid w:val="00C55566"/>
    <w:rsid w:val="00C55981"/>
    <w:rsid w:val="00C55EB9"/>
    <w:rsid w:val="00C566FD"/>
    <w:rsid w:val="00C56C73"/>
    <w:rsid w:val="00C57020"/>
    <w:rsid w:val="00C5780B"/>
    <w:rsid w:val="00C57A01"/>
    <w:rsid w:val="00C57A2D"/>
    <w:rsid w:val="00C57D00"/>
    <w:rsid w:val="00C57E3C"/>
    <w:rsid w:val="00C604A8"/>
    <w:rsid w:val="00C60B07"/>
    <w:rsid w:val="00C60F29"/>
    <w:rsid w:val="00C6117A"/>
    <w:rsid w:val="00C61D4B"/>
    <w:rsid w:val="00C6277F"/>
    <w:rsid w:val="00C6298E"/>
    <w:rsid w:val="00C62B0A"/>
    <w:rsid w:val="00C63980"/>
    <w:rsid w:val="00C63B79"/>
    <w:rsid w:val="00C63C52"/>
    <w:rsid w:val="00C63C95"/>
    <w:rsid w:val="00C63F08"/>
    <w:rsid w:val="00C64825"/>
    <w:rsid w:val="00C6519C"/>
    <w:rsid w:val="00C6528C"/>
    <w:rsid w:val="00C66001"/>
    <w:rsid w:val="00C661E8"/>
    <w:rsid w:val="00C669C6"/>
    <w:rsid w:val="00C66D05"/>
    <w:rsid w:val="00C67E40"/>
    <w:rsid w:val="00C70038"/>
    <w:rsid w:val="00C70084"/>
    <w:rsid w:val="00C70847"/>
    <w:rsid w:val="00C7090B"/>
    <w:rsid w:val="00C71C2B"/>
    <w:rsid w:val="00C71E44"/>
    <w:rsid w:val="00C71EB7"/>
    <w:rsid w:val="00C7235B"/>
    <w:rsid w:val="00C72854"/>
    <w:rsid w:val="00C72E18"/>
    <w:rsid w:val="00C72F96"/>
    <w:rsid w:val="00C731AD"/>
    <w:rsid w:val="00C73417"/>
    <w:rsid w:val="00C7380B"/>
    <w:rsid w:val="00C73C02"/>
    <w:rsid w:val="00C74317"/>
    <w:rsid w:val="00C74421"/>
    <w:rsid w:val="00C745B3"/>
    <w:rsid w:val="00C75192"/>
    <w:rsid w:val="00C75F2F"/>
    <w:rsid w:val="00C75FEE"/>
    <w:rsid w:val="00C76F1D"/>
    <w:rsid w:val="00C77937"/>
    <w:rsid w:val="00C77CA4"/>
    <w:rsid w:val="00C77D26"/>
    <w:rsid w:val="00C80029"/>
    <w:rsid w:val="00C80BDF"/>
    <w:rsid w:val="00C815DF"/>
    <w:rsid w:val="00C81819"/>
    <w:rsid w:val="00C81DE3"/>
    <w:rsid w:val="00C820D2"/>
    <w:rsid w:val="00C825A0"/>
    <w:rsid w:val="00C827F9"/>
    <w:rsid w:val="00C828C3"/>
    <w:rsid w:val="00C82E22"/>
    <w:rsid w:val="00C82FEE"/>
    <w:rsid w:val="00C83D9C"/>
    <w:rsid w:val="00C848E3"/>
    <w:rsid w:val="00C84D39"/>
    <w:rsid w:val="00C85277"/>
    <w:rsid w:val="00C85806"/>
    <w:rsid w:val="00C85CFA"/>
    <w:rsid w:val="00C85D76"/>
    <w:rsid w:val="00C873AC"/>
    <w:rsid w:val="00C8779C"/>
    <w:rsid w:val="00C87DA6"/>
    <w:rsid w:val="00C87F51"/>
    <w:rsid w:val="00C90203"/>
    <w:rsid w:val="00C9055D"/>
    <w:rsid w:val="00C91857"/>
    <w:rsid w:val="00C9213B"/>
    <w:rsid w:val="00C921CD"/>
    <w:rsid w:val="00C92B69"/>
    <w:rsid w:val="00C93462"/>
    <w:rsid w:val="00C936F3"/>
    <w:rsid w:val="00C93C1F"/>
    <w:rsid w:val="00C94384"/>
    <w:rsid w:val="00C94A34"/>
    <w:rsid w:val="00C94C2B"/>
    <w:rsid w:val="00C94F73"/>
    <w:rsid w:val="00C95609"/>
    <w:rsid w:val="00C96F79"/>
    <w:rsid w:val="00C97CF9"/>
    <w:rsid w:val="00CA004C"/>
    <w:rsid w:val="00CA17DD"/>
    <w:rsid w:val="00CA1863"/>
    <w:rsid w:val="00CA1941"/>
    <w:rsid w:val="00CA23D5"/>
    <w:rsid w:val="00CA26CE"/>
    <w:rsid w:val="00CA33FD"/>
    <w:rsid w:val="00CA391D"/>
    <w:rsid w:val="00CA3ACD"/>
    <w:rsid w:val="00CA44F2"/>
    <w:rsid w:val="00CA457E"/>
    <w:rsid w:val="00CA48E3"/>
    <w:rsid w:val="00CA4B6A"/>
    <w:rsid w:val="00CA4D5D"/>
    <w:rsid w:val="00CA4F8B"/>
    <w:rsid w:val="00CA5235"/>
    <w:rsid w:val="00CA5445"/>
    <w:rsid w:val="00CA5761"/>
    <w:rsid w:val="00CA6417"/>
    <w:rsid w:val="00CA68B3"/>
    <w:rsid w:val="00CA7488"/>
    <w:rsid w:val="00CA778E"/>
    <w:rsid w:val="00CA7B03"/>
    <w:rsid w:val="00CB0007"/>
    <w:rsid w:val="00CB00A6"/>
    <w:rsid w:val="00CB09DA"/>
    <w:rsid w:val="00CB0BD9"/>
    <w:rsid w:val="00CB1877"/>
    <w:rsid w:val="00CB1BAE"/>
    <w:rsid w:val="00CB1CAC"/>
    <w:rsid w:val="00CB1DE8"/>
    <w:rsid w:val="00CB1E3B"/>
    <w:rsid w:val="00CB1F1D"/>
    <w:rsid w:val="00CB2A71"/>
    <w:rsid w:val="00CB2BE9"/>
    <w:rsid w:val="00CB36E7"/>
    <w:rsid w:val="00CB608F"/>
    <w:rsid w:val="00CB6795"/>
    <w:rsid w:val="00CB71F8"/>
    <w:rsid w:val="00CB7284"/>
    <w:rsid w:val="00CB7603"/>
    <w:rsid w:val="00CC180A"/>
    <w:rsid w:val="00CC1F3A"/>
    <w:rsid w:val="00CC26DB"/>
    <w:rsid w:val="00CC275C"/>
    <w:rsid w:val="00CC300C"/>
    <w:rsid w:val="00CC32B2"/>
    <w:rsid w:val="00CC35AE"/>
    <w:rsid w:val="00CC3DAA"/>
    <w:rsid w:val="00CC4C2C"/>
    <w:rsid w:val="00CC5057"/>
    <w:rsid w:val="00CC5589"/>
    <w:rsid w:val="00CC5B11"/>
    <w:rsid w:val="00CC6080"/>
    <w:rsid w:val="00CC640F"/>
    <w:rsid w:val="00CC64E4"/>
    <w:rsid w:val="00CC6961"/>
    <w:rsid w:val="00CC6A5E"/>
    <w:rsid w:val="00CC7843"/>
    <w:rsid w:val="00CC7E1A"/>
    <w:rsid w:val="00CD078F"/>
    <w:rsid w:val="00CD106F"/>
    <w:rsid w:val="00CD121E"/>
    <w:rsid w:val="00CD12C5"/>
    <w:rsid w:val="00CD166C"/>
    <w:rsid w:val="00CD16C6"/>
    <w:rsid w:val="00CD185D"/>
    <w:rsid w:val="00CD2727"/>
    <w:rsid w:val="00CD28F0"/>
    <w:rsid w:val="00CD3598"/>
    <w:rsid w:val="00CD3C39"/>
    <w:rsid w:val="00CD3ED8"/>
    <w:rsid w:val="00CD3FBF"/>
    <w:rsid w:val="00CD497A"/>
    <w:rsid w:val="00CD60B1"/>
    <w:rsid w:val="00CD71AF"/>
    <w:rsid w:val="00CD720C"/>
    <w:rsid w:val="00CD75E5"/>
    <w:rsid w:val="00CD761D"/>
    <w:rsid w:val="00CD76B5"/>
    <w:rsid w:val="00CD7785"/>
    <w:rsid w:val="00CD78B9"/>
    <w:rsid w:val="00CE1B49"/>
    <w:rsid w:val="00CE1D01"/>
    <w:rsid w:val="00CE1E1E"/>
    <w:rsid w:val="00CE2323"/>
    <w:rsid w:val="00CE2346"/>
    <w:rsid w:val="00CE2368"/>
    <w:rsid w:val="00CE2CDA"/>
    <w:rsid w:val="00CE30A4"/>
    <w:rsid w:val="00CE3A59"/>
    <w:rsid w:val="00CE4323"/>
    <w:rsid w:val="00CE61AE"/>
    <w:rsid w:val="00CE6F0F"/>
    <w:rsid w:val="00CE7115"/>
    <w:rsid w:val="00CE73B4"/>
    <w:rsid w:val="00CF002F"/>
    <w:rsid w:val="00CF0246"/>
    <w:rsid w:val="00CF031B"/>
    <w:rsid w:val="00CF14D2"/>
    <w:rsid w:val="00CF1875"/>
    <w:rsid w:val="00CF1924"/>
    <w:rsid w:val="00CF1D08"/>
    <w:rsid w:val="00CF2483"/>
    <w:rsid w:val="00CF24E2"/>
    <w:rsid w:val="00CF2BD9"/>
    <w:rsid w:val="00CF2F8E"/>
    <w:rsid w:val="00CF393D"/>
    <w:rsid w:val="00CF394E"/>
    <w:rsid w:val="00CF4ABD"/>
    <w:rsid w:val="00CF4CF2"/>
    <w:rsid w:val="00CF5A53"/>
    <w:rsid w:val="00CF5D28"/>
    <w:rsid w:val="00CF6266"/>
    <w:rsid w:val="00CF66A2"/>
    <w:rsid w:val="00CF68B8"/>
    <w:rsid w:val="00CF6EAD"/>
    <w:rsid w:val="00CF6F1E"/>
    <w:rsid w:val="00CF6FF8"/>
    <w:rsid w:val="00CF7354"/>
    <w:rsid w:val="00CF7894"/>
    <w:rsid w:val="00CF7E96"/>
    <w:rsid w:val="00D001F9"/>
    <w:rsid w:val="00D0036E"/>
    <w:rsid w:val="00D00BB7"/>
    <w:rsid w:val="00D00CE5"/>
    <w:rsid w:val="00D00D6C"/>
    <w:rsid w:val="00D01EAD"/>
    <w:rsid w:val="00D0344F"/>
    <w:rsid w:val="00D035B9"/>
    <w:rsid w:val="00D040B7"/>
    <w:rsid w:val="00D0431C"/>
    <w:rsid w:val="00D047A8"/>
    <w:rsid w:val="00D04E76"/>
    <w:rsid w:val="00D060FF"/>
    <w:rsid w:val="00D064E8"/>
    <w:rsid w:val="00D06546"/>
    <w:rsid w:val="00D06572"/>
    <w:rsid w:val="00D065CD"/>
    <w:rsid w:val="00D066B5"/>
    <w:rsid w:val="00D06811"/>
    <w:rsid w:val="00D06B37"/>
    <w:rsid w:val="00D06D84"/>
    <w:rsid w:val="00D0724B"/>
    <w:rsid w:val="00D07A60"/>
    <w:rsid w:val="00D10818"/>
    <w:rsid w:val="00D12325"/>
    <w:rsid w:val="00D1252B"/>
    <w:rsid w:val="00D12761"/>
    <w:rsid w:val="00D13281"/>
    <w:rsid w:val="00D13299"/>
    <w:rsid w:val="00D13D2D"/>
    <w:rsid w:val="00D14487"/>
    <w:rsid w:val="00D14844"/>
    <w:rsid w:val="00D14C0A"/>
    <w:rsid w:val="00D15D47"/>
    <w:rsid w:val="00D15E7E"/>
    <w:rsid w:val="00D16058"/>
    <w:rsid w:val="00D16862"/>
    <w:rsid w:val="00D16FDD"/>
    <w:rsid w:val="00D174F5"/>
    <w:rsid w:val="00D17601"/>
    <w:rsid w:val="00D179BA"/>
    <w:rsid w:val="00D20016"/>
    <w:rsid w:val="00D206D2"/>
    <w:rsid w:val="00D207A7"/>
    <w:rsid w:val="00D208EA"/>
    <w:rsid w:val="00D20B19"/>
    <w:rsid w:val="00D20C21"/>
    <w:rsid w:val="00D20C74"/>
    <w:rsid w:val="00D21753"/>
    <w:rsid w:val="00D21C4C"/>
    <w:rsid w:val="00D22279"/>
    <w:rsid w:val="00D2279F"/>
    <w:rsid w:val="00D22AF1"/>
    <w:rsid w:val="00D22E93"/>
    <w:rsid w:val="00D240A6"/>
    <w:rsid w:val="00D241FE"/>
    <w:rsid w:val="00D242DA"/>
    <w:rsid w:val="00D247EC"/>
    <w:rsid w:val="00D25EF5"/>
    <w:rsid w:val="00D26448"/>
    <w:rsid w:val="00D264CE"/>
    <w:rsid w:val="00D26670"/>
    <w:rsid w:val="00D2670E"/>
    <w:rsid w:val="00D26910"/>
    <w:rsid w:val="00D27794"/>
    <w:rsid w:val="00D27B8B"/>
    <w:rsid w:val="00D27C81"/>
    <w:rsid w:val="00D30A5D"/>
    <w:rsid w:val="00D30CF0"/>
    <w:rsid w:val="00D30E03"/>
    <w:rsid w:val="00D30EBD"/>
    <w:rsid w:val="00D3166E"/>
    <w:rsid w:val="00D31681"/>
    <w:rsid w:val="00D3179A"/>
    <w:rsid w:val="00D3191C"/>
    <w:rsid w:val="00D31B6E"/>
    <w:rsid w:val="00D3232B"/>
    <w:rsid w:val="00D3239F"/>
    <w:rsid w:val="00D324A4"/>
    <w:rsid w:val="00D3250C"/>
    <w:rsid w:val="00D32721"/>
    <w:rsid w:val="00D328F6"/>
    <w:rsid w:val="00D32A8C"/>
    <w:rsid w:val="00D32DF3"/>
    <w:rsid w:val="00D33473"/>
    <w:rsid w:val="00D33F8C"/>
    <w:rsid w:val="00D34584"/>
    <w:rsid w:val="00D345D4"/>
    <w:rsid w:val="00D3462C"/>
    <w:rsid w:val="00D34DEB"/>
    <w:rsid w:val="00D35198"/>
    <w:rsid w:val="00D352A5"/>
    <w:rsid w:val="00D3584B"/>
    <w:rsid w:val="00D35A85"/>
    <w:rsid w:val="00D35F97"/>
    <w:rsid w:val="00D361D6"/>
    <w:rsid w:val="00D36964"/>
    <w:rsid w:val="00D36C93"/>
    <w:rsid w:val="00D36E9D"/>
    <w:rsid w:val="00D37A1A"/>
    <w:rsid w:val="00D37B4A"/>
    <w:rsid w:val="00D37F68"/>
    <w:rsid w:val="00D4081B"/>
    <w:rsid w:val="00D40968"/>
    <w:rsid w:val="00D40E1A"/>
    <w:rsid w:val="00D413C3"/>
    <w:rsid w:val="00D419B4"/>
    <w:rsid w:val="00D41C28"/>
    <w:rsid w:val="00D42240"/>
    <w:rsid w:val="00D427C3"/>
    <w:rsid w:val="00D42EB8"/>
    <w:rsid w:val="00D4321A"/>
    <w:rsid w:val="00D43BC5"/>
    <w:rsid w:val="00D43D3C"/>
    <w:rsid w:val="00D43E0B"/>
    <w:rsid w:val="00D440AD"/>
    <w:rsid w:val="00D441E2"/>
    <w:rsid w:val="00D44530"/>
    <w:rsid w:val="00D44932"/>
    <w:rsid w:val="00D44FAF"/>
    <w:rsid w:val="00D4538B"/>
    <w:rsid w:val="00D458AE"/>
    <w:rsid w:val="00D4601C"/>
    <w:rsid w:val="00D46111"/>
    <w:rsid w:val="00D46389"/>
    <w:rsid w:val="00D4662F"/>
    <w:rsid w:val="00D46A4D"/>
    <w:rsid w:val="00D46E5F"/>
    <w:rsid w:val="00D46F1B"/>
    <w:rsid w:val="00D4713F"/>
    <w:rsid w:val="00D47247"/>
    <w:rsid w:val="00D47410"/>
    <w:rsid w:val="00D475FB"/>
    <w:rsid w:val="00D47923"/>
    <w:rsid w:val="00D47C16"/>
    <w:rsid w:val="00D502AF"/>
    <w:rsid w:val="00D50310"/>
    <w:rsid w:val="00D50546"/>
    <w:rsid w:val="00D50764"/>
    <w:rsid w:val="00D50C12"/>
    <w:rsid w:val="00D51034"/>
    <w:rsid w:val="00D514A9"/>
    <w:rsid w:val="00D51A77"/>
    <w:rsid w:val="00D520C4"/>
    <w:rsid w:val="00D52239"/>
    <w:rsid w:val="00D522DC"/>
    <w:rsid w:val="00D5250C"/>
    <w:rsid w:val="00D5267B"/>
    <w:rsid w:val="00D53372"/>
    <w:rsid w:val="00D53649"/>
    <w:rsid w:val="00D53830"/>
    <w:rsid w:val="00D53C1E"/>
    <w:rsid w:val="00D53DF8"/>
    <w:rsid w:val="00D5437F"/>
    <w:rsid w:val="00D54637"/>
    <w:rsid w:val="00D5498D"/>
    <w:rsid w:val="00D54FB3"/>
    <w:rsid w:val="00D55889"/>
    <w:rsid w:val="00D55903"/>
    <w:rsid w:val="00D55FF2"/>
    <w:rsid w:val="00D565C4"/>
    <w:rsid w:val="00D56A86"/>
    <w:rsid w:val="00D56B5F"/>
    <w:rsid w:val="00D57A2F"/>
    <w:rsid w:val="00D57A3F"/>
    <w:rsid w:val="00D57AF0"/>
    <w:rsid w:val="00D6022D"/>
    <w:rsid w:val="00D60867"/>
    <w:rsid w:val="00D61099"/>
    <w:rsid w:val="00D61815"/>
    <w:rsid w:val="00D619B0"/>
    <w:rsid w:val="00D62197"/>
    <w:rsid w:val="00D627E3"/>
    <w:rsid w:val="00D62ECD"/>
    <w:rsid w:val="00D631C1"/>
    <w:rsid w:val="00D6329D"/>
    <w:rsid w:val="00D638B2"/>
    <w:rsid w:val="00D64426"/>
    <w:rsid w:val="00D64475"/>
    <w:rsid w:val="00D64A2A"/>
    <w:rsid w:val="00D654BE"/>
    <w:rsid w:val="00D65892"/>
    <w:rsid w:val="00D65CB0"/>
    <w:rsid w:val="00D65D78"/>
    <w:rsid w:val="00D66490"/>
    <w:rsid w:val="00D66AAA"/>
    <w:rsid w:val="00D66B04"/>
    <w:rsid w:val="00D670FB"/>
    <w:rsid w:val="00D67BC5"/>
    <w:rsid w:val="00D7005B"/>
    <w:rsid w:val="00D7021B"/>
    <w:rsid w:val="00D70D33"/>
    <w:rsid w:val="00D71862"/>
    <w:rsid w:val="00D71C6A"/>
    <w:rsid w:val="00D71E7F"/>
    <w:rsid w:val="00D71FBA"/>
    <w:rsid w:val="00D7239B"/>
    <w:rsid w:val="00D72FEE"/>
    <w:rsid w:val="00D73077"/>
    <w:rsid w:val="00D732C9"/>
    <w:rsid w:val="00D736A2"/>
    <w:rsid w:val="00D73C57"/>
    <w:rsid w:val="00D73D43"/>
    <w:rsid w:val="00D742FF"/>
    <w:rsid w:val="00D74E33"/>
    <w:rsid w:val="00D758B3"/>
    <w:rsid w:val="00D75A86"/>
    <w:rsid w:val="00D75B01"/>
    <w:rsid w:val="00D75DFA"/>
    <w:rsid w:val="00D76ADC"/>
    <w:rsid w:val="00D76C51"/>
    <w:rsid w:val="00D77413"/>
    <w:rsid w:val="00D777D6"/>
    <w:rsid w:val="00D77EF7"/>
    <w:rsid w:val="00D80695"/>
    <w:rsid w:val="00D809B9"/>
    <w:rsid w:val="00D80B04"/>
    <w:rsid w:val="00D815AD"/>
    <w:rsid w:val="00D81689"/>
    <w:rsid w:val="00D81F10"/>
    <w:rsid w:val="00D826BB"/>
    <w:rsid w:val="00D82798"/>
    <w:rsid w:val="00D82BF2"/>
    <w:rsid w:val="00D82F0A"/>
    <w:rsid w:val="00D831DA"/>
    <w:rsid w:val="00D8324D"/>
    <w:rsid w:val="00D832EC"/>
    <w:rsid w:val="00D83916"/>
    <w:rsid w:val="00D84A57"/>
    <w:rsid w:val="00D84E7B"/>
    <w:rsid w:val="00D85F3E"/>
    <w:rsid w:val="00D86A2E"/>
    <w:rsid w:val="00D87307"/>
    <w:rsid w:val="00D874DF"/>
    <w:rsid w:val="00D8794E"/>
    <w:rsid w:val="00D87A12"/>
    <w:rsid w:val="00D9028C"/>
    <w:rsid w:val="00D9041F"/>
    <w:rsid w:val="00D90737"/>
    <w:rsid w:val="00D90D60"/>
    <w:rsid w:val="00D918C5"/>
    <w:rsid w:val="00D92C52"/>
    <w:rsid w:val="00D930E1"/>
    <w:rsid w:val="00D9354D"/>
    <w:rsid w:val="00D93AFA"/>
    <w:rsid w:val="00D9415C"/>
    <w:rsid w:val="00D942CC"/>
    <w:rsid w:val="00D944E4"/>
    <w:rsid w:val="00D94612"/>
    <w:rsid w:val="00D94C49"/>
    <w:rsid w:val="00D94D87"/>
    <w:rsid w:val="00D95123"/>
    <w:rsid w:val="00D95559"/>
    <w:rsid w:val="00D9555E"/>
    <w:rsid w:val="00D95B31"/>
    <w:rsid w:val="00D95DCC"/>
    <w:rsid w:val="00D96025"/>
    <w:rsid w:val="00D9621F"/>
    <w:rsid w:val="00D962DC"/>
    <w:rsid w:val="00DA01AE"/>
    <w:rsid w:val="00DA0331"/>
    <w:rsid w:val="00DA043A"/>
    <w:rsid w:val="00DA175F"/>
    <w:rsid w:val="00DA180C"/>
    <w:rsid w:val="00DA18A2"/>
    <w:rsid w:val="00DA1B7B"/>
    <w:rsid w:val="00DA2B10"/>
    <w:rsid w:val="00DA3251"/>
    <w:rsid w:val="00DA3E7B"/>
    <w:rsid w:val="00DA3F17"/>
    <w:rsid w:val="00DA418E"/>
    <w:rsid w:val="00DA4419"/>
    <w:rsid w:val="00DA451D"/>
    <w:rsid w:val="00DA470D"/>
    <w:rsid w:val="00DA4A78"/>
    <w:rsid w:val="00DA4CC5"/>
    <w:rsid w:val="00DA504B"/>
    <w:rsid w:val="00DA56DB"/>
    <w:rsid w:val="00DA5793"/>
    <w:rsid w:val="00DA6452"/>
    <w:rsid w:val="00DA6FE9"/>
    <w:rsid w:val="00DA761C"/>
    <w:rsid w:val="00DA7925"/>
    <w:rsid w:val="00DA7CD8"/>
    <w:rsid w:val="00DA7F89"/>
    <w:rsid w:val="00DB031E"/>
    <w:rsid w:val="00DB040B"/>
    <w:rsid w:val="00DB0657"/>
    <w:rsid w:val="00DB0AB8"/>
    <w:rsid w:val="00DB0C7C"/>
    <w:rsid w:val="00DB0D2A"/>
    <w:rsid w:val="00DB11CD"/>
    <w:rsid w:val="00DB16A0"/>
    <w:rsid w:val="00DB16BD"/>
    <w:rsid w:val="00DB178F"/>
    <w:rsid w:val="00DB1BB7"/>
    <w:rsid w:val="00DB1DAB"/>
    <w:rsid w:val="00DB354E"/>
    <w:rsid w:val="00DB39D4"/>
    <w:rsid w:val="00DB3A47"/>
    <w:rsid w:val="00DB3BF7"/>
    <w:rsid w:val="00DB4099"/>
    <w:rsid w:val="00DB46D0"/>
    <w:rsid w:val="00DB46DF"/>
    <w:rsid w:val="00DB49B6"/>
    <w:rsid w:val="00DB4E06"/>
    <w:rsid w:val="00DB52F7"/>
    <w:rsid w:val="00DB5895"/>
    <w:rsid w:val="00DB5C22"/>
    <w:rsid w:val="00DB631E"/>
    <w:rsid w:val="00DB677E"/>
    <w:rsid w:val="00DB6A7F"/>
    <w:rsid w:val="00DB6A80"/>
    <w:rsid w:val="00DB6C06"/>
    <w:rsid w:val="00DB724E"/>
    <w:rsid w:val="00DB7354"/>
    <w:rsid w:val="00DB7B06"/>
    <w:rsid w:val="00DB7B30"/>
    <w:rsid w:val="00DC0373"/>
    <w:rsid w:val="00DC043D"/>
    <w:rsid w:val="00DC0738"/>
    <w:rsid w:val="00DC2543"/>
    <w:rsid w:val="00DC286E"/>
    <w:rsid w:val="00DC318A"/>
    <w:rsid w:val="00DC371F"/>
    <w:rsid w:val="00DC3A9D"/>
    <w:rsid w:val="00DC4004"/>
    <w:rsid w:val="00DC4243"/>
    <w:rsid w:val="00DC5168"/>
    <w:rsid w:val="00DC5584"/>
    <w:rsid w:val="00DC662F"/>
    <w:rsid w:val="00DC6947"/>
    <w:rsid w:val="00DC6C1E"/>
    <w:rsid w:val="00DC7255"/>
    <w:rsid w:val="00DC72CE"/>
    <w:rsid w:val="00DC7951"/>
    <w:rsid w:val="00DC7A91"/>
    <w:rsid w:val="00DD078D"/>
    <w:rsid w:val="00DD0E0E"/>
    <w:rsid w:val="00DD1C4B"/>
    <w:rsid w:val="00DD1F7B"/>
    <w:rsid w:val="00DD229E"/>
    <w:rsid w:val="00DD23A4"/>
    <w:rsid w:val="00DD25A8"/>
    <w:rsid w:val="00DD3029"/>
    <w:rsid w:val="00DD3535"/>
    <w:rsid w:val="00DD3C76"/>
    <w:rsid w:val="00DD430D"/>
    <w:rsid w:val="00DD5417"/>
    <w:rsid w:val="00DD55E0"/>
    <w:rsid w:val="00DD55F5"/>
    <w:rsid w:val="00DD5EF9"/>
    <w:rsid w:val="00DD66E4"/>
    <w:rsid w:val="00DD6940"/>
    <w:rsid w:val="00DD69DA"/>
    <w:rsid w:val="00DD6CB0"/>
    <w:rsid w:val="00DD79CE"/>
    <w:rsid w:val="00DE14CD"/>
    <w:rsid w:val="00DE17D3"/>
    <w:rsid w:val="00DE18A3"/>
    <w:rsid w:val="00DE1904"/>
    <w:rsid w:val="00DE19FB"/>
    <w:rsid w:val="00DE1B83"/>
    <w:rsid w:val="00DE1DAA"/>
    <w:rsid w:val="00DE2519"/>
    <w:rsid w:val="00DE2903"/>
    <w:rsid w:val="00DE2EF0"/>
    <w:rsid w:val="00DE3835"/>
    <w:rsid w:val="00DE3B5E"/>
    <w:rsid w:val="00DE3BE8"/>
    <w:rsid w:val="00DE3DBB"/>
    <w:rsid w:val="00DE43A2"/>
    <w:rsid w:val="00DE4A74"/>
    <w:rsid w:val="00DE4B05"/>
    <w:rsid w:val="00DE4EE9"/>
    <w:rsid w:val="00DE5105"/>
    <w:rsid w:val="00DE541C"/>
    <w:rsid w:val="00DE702B"/>
    <w:rsid w:val="00DE737B"/>
    <w:rsid w:val="00DE765F"/>
    <w:rsid w:val="00DE7A14"/>
    <w:rsid w:val="00DE7D7E"/>
    <w:rsid w:val="00DF0253"/>
    <w:rsid w:val="00DF039E"/>
    <w:rsid w:val="00DF08F4"/>
    <w:rsid w:val="00DF0BD2"/>
    <w:rsid w:val="00DF100B"/>
    <w:rsid w:val="00DF11B7"/>
    <w:rsid w:val="00DF2885"/>
    <w:rsid w:val="00DF32F3"/>
    <w:rsid w:val="00DF3EBB"/>
    <w:rsid w:val="00DF4359"/>
    <w:rsid w:val="00DF47ED"/>
    <w:rsid w:val="00DF4A33"/>
    <w:rsid w:val="00DF56A4"/>
    <w:rsid w:val="00DF5B28"/>
    <w:rsid w:val="00DF6B52"/>
    <w:rsid w:val="00DF6E80"/>
    <w:rsid w:val="00DF7085"/>
    <w:rsid w:val="00DF7126"/>
    <w:rsid w:val="00DF73C1"/>
    <w:rsid w:val="00DF7511"/>
    <w:rsid w:val="00DF7751"/>
    <w:rsid w:val="00DF7C5F"/>
    <w:rsid w:val="00DF7F09"/>
    <w:rsid w:val="00E009B1"/>
    <w:rsid w:val="00E00AA9"/>
    <w:rsid w:val="00E00BC3"/>
    <w:rsid w:val="00E011D7"/>
    <w:rsid w:val="00E01286"/>
    <w:rsid w:val="00E01413"/>
    <w:rsid w:val="00E016E1"/>
    <w:rsid w:val="00E01CBF"/>
    <w:rsid w:val="00E02194"/>
    <w:rsid w:val="00E031BB"/>
    <w:rsid w:val="00E0414F"/>
    <w:rsid w:val="00E0417B"/>
    <w:rsid w:val="00E042FA"/>
    <w:rsid w:val="00E04322"/>
    <w:rsid w:val="00E04E0E"/>
    <w:rsid w:val="00E04FF3"/>
    <w:rsid w:val="00E0540B"/>
    <w:rsid w:val="00E0576C"/>
    <w:rsid w:val="00E05946"/>
    <w:rsid w:val="00E05C7E"/>
    <w:rsid w:val="00E063EF"/>
    <w:rsid w:val="00E065C2"/>
    <w:rsid w:val="00E068BC"/>
    <w:rsid w:val="00E06C12"/>
    <w:rsid w:val="00E06EC9"/>
    <w:rsid w:val="00E073F0"/>
    <w:rsid w:val="00E10761"/>
    <w:rsid w:val="00E112F2"/>
    <w:rsid w:val="00E1185B"/>
    <w:rsid w:val="00E118C5"/>
    <w:rsid w:val="00E11D7A"/>
    <w:rsid w:val="00E11EEB"/>
    <w:rsid w:val="00E1213C"/>
    <w:rsid w:val="00E128F2"/>
    <w:rsid w:val="00E12A25"/>
    <w:rsid w:val="00E13E5A"/>
    <w:rsid w:val="00E13EE4"/>
    <w:rsid w:val="00E14CBF"/>
    <w:rsid w:val="00E15404"/>
    <w:rsid w:val="00E16190"/>
    <w:rsid w:val="00E1619C"/>
    <w:rsid w:val="00E16463"/>
    <w:rsid w:val="00E167EB"/>
    <w:rsid w:val="00E16F82"/>
    <w:rsid w:val="00E16F84"/>
    <w:rsid w:val="00E17F6F"/>
    <w:rsid w:val="00E20018"/>
    <w:rsid w:val="00E20B20"/>
    <w:rsid w:val="00E20C5F"/>
    <w:rsid w:val="00E21303"/>
    <w:rsid w:val="00E21388"/>
    <w:rsid w:val="00E21F16"/>
    <w:rsid w:val="00E22550"/>
    <w:rsid w:val="00E22D75"/>
    <w:rsid w:val="00E230A9"/>
    <w:rsid w:val="00E2329E"/>
    <w:rsid w:val="00E239D1"/>
    <w:rsid w:val="00E243E4"/>
    <w:rsid w:val="00E246B9"/>
    <w:rsid w:val="00E250C5"/>
    <w:rsid w:val="00E262E9"/>
    <w:rsid w:val="00E26727"/>
    <w:rsid w:val="00E26970"/>
    <w:rsid w:val="00E26EB9"/>
    <w:rsid w:val="00E27205"/>
    <w:rsid w:val="00E2728F"/>
    <w:rsid w:val="00E274B9"/>
    <w:rsid w:val="00E27791"/>
    <w:rsid w:val="00E30CF7"/>
    <w:rsid w:val="00E30ED0"/>
    <w:rsid w:val="00E30F26"/>
    <w:rsid w:val="00E30F2D"/>
    <w:rsid w:val="00E319DB"/>
    <w:rsid w:val="00E31AFC"/>
    <w:rsid w:val="00E31F8D"/>
    <w:rsid w:val="00E3250F"/>
    <w:rsid w:val="00E325AD"/>
    <w:rsid w:val="00E328D7"/>
    <w:rsid w:val="00E329D9"/>
    <w:rsid w:val="00E32B80"/>
    <w:rsid w:val="00E32D6C"/>
    <w:rsid w:val="00E338A7"/>
    <w:rsid w:val="00E33995"/>
    <w:rsid w:val="00E3409E"/>
    <w:rsid w:val="00E342E6"/>
    <w:rsid w:val="00E34F76"/>
    <w:rsid w:val="00E35926"/>
    <w:rsid w:val="00E35A80"/>
    <w:rsid w:val="00E35B5A"/>
    <w:rsid w:val="00E35E8F"/>
    <w:rsid w:val="00E36079"/>
    <w:rsid w:val="00E3621E"/>
    <w:rsid w:val="00E363B1"/>
    <w:rsid w:val="00E3730E"/>
    <w:rsid w:val="00E37932"/>
    <w:rsid w:val="00E37BE5"/>
    <w:rsid w:val="00E4008F"/>
    <w:rsid w:val="00E402B8"/>
    <w:rsid w:val="00E40446"/>
    <w:rsid w:val="00E409A9"/>
    <w:rsid w:val="00E40B94"/>
    <w:rsid w:val="00E4115E"/>
    <w:rsid w:val="00E41927"/>
    <w:rsid w:val="00E41A27"/>
    <w:rsid w:val="00E41AB4"/>
    <w:rsid w:val="00E42047"/>
    <w:rsid w:val="00E424F4"/>
    <w:rsid w:val="00E42737"/>
    <w:rsid w:val="00E4293C"/>
    <w:rsid w:val="00E43741"/>
    <w:rsid w:val="00E4450A"/>
    <w:rsid w:val="00E44906"/>
    <w:rsid w:val="00E44F5D"/>
    <w:rsid w:val="00E44FDB"/>
    <w:rsid w:val="00E45AD9"/>
    <w:rsid w:val="00E45C77"/>
    <w:rsid w:val="00E4608B"/>
    <w:rsid w:val="00E46C9B"/>
    <w:rsid w:val="00E46D7F"/>
    <w:rsid w:val="00E501D3"/>
    <w:rsid w:val="00E50942"/>
    <w:rsid w:val="00E50E6D"/>
    <w:rsid w:val="00E526ED"/>
    <w:rsid w:val="00E52C85"/>
    <w:rsid w:val="00E52D27"/>
    <w:rsid w:val="00E532A6"/>
    <w:rsid w:val="00E53A01"/>
    <w:rsid w:val="00E53C76"/>
    <w:rsid w:val="00E54395"/>
    <w:rsid w:val="00E54C24"/>
    <w:rsid w:val="00E557A5"/>
    <w:rsid w:val="00E5588E"/>
    <w:rsid w:val="00E5615E"/>
    <w:rsid w:val="00E564C4"/>
    <w:rsid w:val="00E567C9"/>
    <w:rsid w:val="00E577B1"/>
    <w:rsid w:val="00E57D40"/>
    <w:rsid w:val="00E57E1A"/>
    <w:rsid w:val="00E604C4"/>
    <w:rsid w:val="00E60809"/>
    <w:rsid w:val="00E61300"/>
    <w:rsid w:val="00E618B7"/>
    <w:rsid w:val="00E61FB1"/>
    <w:rsid w:val="00E62D5C"/>
    <w:rsid w:val="00E635B9"/>
    <w:rsid w:val="00E63A1C"/>
    <w:rsid w:val="00E64F89"/>
    <w:rsid w:val="00E65CF0"/>
    <w:rsid w:val="00E65D15"/>
    <w:rsid w:val="00E66CD8"/>
    <w:rsid w:val="00E66D1C"/>
    <w:rsid w:val="00E67802"/>
    <w:rsid w:val="00E67B64"/>
    <w:rsid w:val="00E67EE5"/>
    <w:rsid w:val="00E7013A"/>
    <w:rsid w:val="00E70C79"/>
    <w:rsid w:val="00E70E4E"/>
    <w:rsid w:val="00E724E9"/>
    <w:rsid w:val="00E72A27"/>
    <w:rsid w:val="00E72C6B"/>
    <w:rsid w:val="00E73503"/>
    <w:rsid w:val="00E73AB7"/>
    <w:rsid w:val="00E73EC0"/>
    <w:rsid w:val="00E746EC"/>
    <w:rsid w:val="00E74F5D"/>
    <w:rsid w:val="00E753DD"/>
    <w:rsid w:val="00E75718"/>
    <w:rsid w:val="00E75BDC"/>
    <w:rsid w:val="00E76034"/>
    <w:rsid w:val="00E76C98"/>
    <w:rsid w:val="00E77357"/>
    <w:rsid w:val="00E7781A"/>
    <w:rsid w:val="00E779D0"/>
    <w:rsid w:val="00E80440"/>
    <w:rsid w:val="00E80976"/>
    <w:rsid w:val="00E81034"/>
    <w:rsid w:val="00E81194"/>
    <w:rsid w:val="00E817E0"/>
    <w:rsid w:val="00E81B82"/>
    <w:rsid w:val="00E81F1D"/>
    <w:rsid w:val="00E82D78"/>
    <w:rsid w:val="00E82EE4"/>
    <w:rsid w:val="00E831E7"/>
    <w:rsid w:val="00E843B5"/>
    <w:rsid w:val="00E8459A"/>
    <w:rsid w:val="00E8479F"/>
    <w:rsid w:val="00E84A3B"/>
    <w:rsid w:val="00E84BF2"/>
    <w:rsid w:val="00E85307"/>
    <w:rsid w:val="00E85B0A"/>
    <w:rsid w:val="00E85B72"/>
    <w:rsid w:val="00E860E7"/>
    <w:rsid w:val="00E861B2"/>
    <w:rsid w:val="00E869B9"/>
    <w:rsid w:val="00E87718"/>
    <w:rsid w:val="00E87742"/>
    <w:rsid w:val="00E87A18"/>
    <w:rsid w:val="00E87CB7"/>
    <w:rsid w:val="00E907A0"/>
    <w:rsid w:val="00E907E4"/>
    <w:rsid w:val="00E90937"/>
    <w:rsid w:val="00E90A24"/>
    <w:rsid w:val="00E90C34"/>
    <w:rsid w:val="00E90DB7"/>
    <w:rsid w:val="00E91220"/>
    <w:rsid w:val="00E91310"/>
    <w:rsid w:val="00E919AC"/>
    <w:rsid w:val="00E91A38"/>
    <w:rsid w:val="00E91EDB"/>
    <w:rsid w:val="00E927FA"/>
    <w:rsid w:val="00E92C92"/>
    <w:rsid w:val="00E9321C"/>
    <w:rsid w:val="00E93499"/>
    <w:rsid w:val="00E93947"/>
    <w:rsid w:val="00E93CB3"/>
    <w:rsid w:val="00E93CBC"/>
    <w:rsid w:val="00E946A6"/>
    <w:rsid w:val="00E947E4"/>
    <w:rsid w:val="00E9480A"/>
    <w:rsid w:val="00E94A86"/>
    <w:rsid w:val="00E9566E"/>
    <w:rsid w:val="00E9616B"/>
    <w:rsid w:val="00E96A29"/>
    <w:rsid w:val="00E96B28"/>
    <w:rsid w:val="00E96FE6"/>
    <w:rsid w:val="00E973A1"/>
    <w:rsid w:val="00E97418"/>
    <w:rsid w:val="00EA0118"/>
    <w:rsid w:val="00EA06C6"/>
    <w:rsid w:val="00EA0BDE"/>
    <w:rsid w:val="00EA0F54"/>
    <w:rsid w:val="00EA1059"/>
    <w:rsid w:val="00EA1D19"/>
    <w:rsid w:val="00EA1D43"/>
    <w:rsid w:val="00EA2653"/>
    <w:rsid w:val="00EA26AF"/>
    <w:rsid w:val="00EA2924"/>
    <w:rsid w:val="00EA29EB"/>
    <w:rsid w:val="00EA2C2A"/>
    <w:rsid w:val="00EA2D5D"/>
    <w:rsid w:val="00EA3B07"/>
    <w:rsid w:val="00EA3F87"/>
    <w:rsid w:val="00EA407B"/>
    <w:rsid w:val="00EA41DD"/>
    <w:rsid w:val="00EA48BA"/>
    <w:rsid w:val="00EA49B0"/>
    <w:rsid w:val="00EA4C04"/>
    <w:rsid w:val="00EA4EC9"/>
    <w:rsid w:val="00EA568E"/>
    <w:rsid w:val="00EA57A4"/>
    <w:rsid w:val="00EA5E0F"/>
    <w:rsid w:val="00EA61E2"/>
    <w:rsid w:val="00EA6211"/>
    <w:rsid w:val="00EA67AC"/>
    <w:rsid w:val="00EA6FE4"/>
    <w:rsid w:val="00EA798D"/>
    <w:rsid w:val="00EA7F4C"/>
    <w:rsid w:val="00EB0658"/>
    <w:rsid w:val="00EB0737"/>
    <w:rsid w:val="00EB0AFB"/>
    <w:rsid w:val="00EB0DD8"/>
    <w:rsid w:val="00EB0FBE"/>
    <w:rsid w:val="00EB1D47"/>
    <w:rsid w:val="00EB2146"/>
    <w:rsid w:val="00EB2317"/>
    <w:rsid w:val="00EB23DB"/>
    <w:rsid w:val="00EB26C6"/>
    <w:rsid w:val="00EB279B"/>
    <w:rsid w:val="00EB27C9"/>
    <w:rsid w:val="00EB2ABB"/>
    <w:rsid w:val="00EB2B18"/>
    <w:rsid w:val="00EB2BF3"/>
    <w:rsid w:val="00EB3525"/>
    <w:rsid w:val="00EB495E"/>
    <w:rsid w:val="00EB4A7C"/>
    <w:rsid w:val="00EB4F83"/>
    <w:rsid w:val="00EB556F"/>
    <w:rsid w:val="00EB55A9"/>
    <w:rsid w:val="00EB584C"/>
    <w:rsid w:val="00EB5863"/>
    <w:rsid w:val="00EB5D88"/>
    <w:rsid w:val="00EB5FAF"/>
    <w:rsid w:val="00EB6C34"/>
    <w:rsid w:val="00EB6D14"/>
    <w:rsid w:val="00EB6FAA"/>
    <w:rsid w:val="00EB7307"/>
    <w:rsid w:val="00EB772D"/>
    <w:rsid w:val="00EC04EE"/>
    <w:rsid w:val="00EC0B66"/>
    <w:rsid w:val="00EC14B0"/>
    <w:rsid w:val="00EC1927"/>
    <w:rsid w:val="00EC204E"/>
    <w:rsid w:val="00EC249E"/>
    <w:rsid w:val="00EC25C8"/>
    <w:rsid w:val="00EC2CFF"/>
    <w:rsid w:val="00EC2DFB"/>
    <w:rsid w:val="00EC37EE"/>
    <w:rsid w:val="00EC3C70"/>
    <w:rsid w:val="00EC3EFC"/>
    <w:rsid w:val="00EC4307"/>
    <w:rsid w:val="00EC4308"/>
    <w:rsid w:val="00EC4472"/>
    <w:rsid w:val="00EC4904"/>
    <w:rsid w:val="00EC4BF9"/>
    <w:rsid w:val="00EC4DF6"/>
    <w:rsid w:val="00EC55AD"/>
    <w:rsid w:val="00EC5F2F"/>
    <w:rsid w:val="00EC651E"/>
    <w:rsid w:val="00EC65E5"/>
    <w:rsid w:val="00EC692E"/>
    <w:rsid w:val="00EC6A56"/>
    <w:rsid w:val="00EC745E"/>
    <w:rsid w:val="00EC775C"/>
    <w:rsid w:val="00EC7EAF"/>
    <w:rsid w:val="00ED1327"/>
    <w:rsid w:val="00ED27C3"/>
    <w:rsid w:val="00ED2ACA"/>
    <w:rsid w:val="00ED2AE2"/>
    <w:rsid w:val="00ED2C5A"/>
    <w:rsid w:val="00ED2FB4"/>
    <w:rsid w:val="00ED33AE"/>
    <w:rsid w:val="00ED3775"/>
    <w:rsid w:val="00ED3BA4"/>
    <w:rsid w:val="00ED4995"/>
    <w:rsid w:val="00ED4A6D"/>
    <w:rsid w:val="00ED4B8C"/>
    <w:rsid w:val="00ED5C13"/>
    <w:rsid w:val="00ED6A4E"/>
    <w:rsid w:val="00ED6D4A"/>
    <w:rsid w:val="00ED721A"/>
    <w:rsid w:val="00ED738C"/>
    <w:rsid w:val="00ED76A8"/>
    <w:rsid w:val="00ED7888"/>
    <w:rsid w:val="00ED7918"/>
    <w:rsid w:val="00ED7FD3"/>
    <w:rsid w:val="00EE00F3"/>
    <w:rsid w:val="00EE05F5"/>
    <w:rsid w:val="00EE0BF7"/>
    <w:rsid w:val="00EE0E5D"/>
    <w:rsid w:val="00EE11C2"/>
    <w:rsid w:val="00EE2A61"/>
    <w:rsid w:val="00EE3663"/>
    <w:rsid w:val="00EE41B8"/>
    <w:rsid w:val="00EE41C4"/>
    <w:rsid w:val="00EE4951"/>
    <w:rsid w:val="00EE4C3C"/>
    <w:rsid w:val="00EE557E"/>
    <w:rsid w:val="00EE55B0"/>
    <w:rsid w:val="00EE5A27"/>
    <w:rsid w:val="00EE69BE"/>
    <w:rsid w:val="00EE6CA4"/>
    <w:rsid w:val="00EE6DFA"/>
    <w:rsid w:val="00EE6E77"/>
    <w:rsid w:val="00EE76A9"/>
    <w:rsid w:val="00EE7746"/>
    <w:rsid w:val="00EE799E"/>
    <w:rsid w:val="00EE7CA8"/>
    <w:rsid w:val="00EE7E02"/>
    <w:rsid w:val="00EE7FA7"/>
    <w:rsid w:val="00EF00AD"/>
    <w:rsid w:val="00EF0322"/>
    <w:rsid w:val="00EF1093"/>
    <w:rsid w:val="00EF1466"/>
    <w:rsid w:val="00EF1528"/>
    <w:rsid w:val="00EF1757"/>
    <w:rsid w:val="00EF17FD"/>
    <w:rsid w:val="00EF195E"/>
    <w:rsid w:val="00EF1FCB"/>
    <w:rsid w:val="00EF21C3"/>
    <w:rsid w:val="00EF2C14"/>
    <w:rsid w:val="00EF2E6B"/>
    <w:rsid w:val="00EF3017"/>
    <w:rsid w:val="00EF4862"/>
    <w:rsid w:val="00EF53ED"/>
    <w:rsid w:val="00EF54D1"/>
    <w:rsid w:val="00EF56AF"/>
    <w:rsid w:val="00EF5DF8"/>
    <w:rsid w:val="00EF67BB"/>
    <w:rsid w:val="00EF6B03"/>
    <w:rsid w:val="00EF6F24"/>
    <w:rsid w:val="00EF72F9"/>
    <w:rsid w:val="00EF74FD"/>
    <w:rsid w:val="00F0021E"/>
    <w:rsid w:val="00F0030E"/>
    <w:rsid w:val="00F005CB"/>
    <w:rsid w:val="00F00B95"/>
    <w:rsid w:val="00F00CD1"/>
    <w:rsid w:val="00F01E6B"/>
    <w:rsid w:val="00F0241C"/>
    <w:rsid w:val="00F0243F"/>
    <w:rsid w:val="00F0265C"/>
    <w:rsid w:val="00F02BF9"/>
    <w:rsid w:val="00F02CD4"/>
    <w:rsid w:val="00F02DD1"/>
    <w:rsid w:val="00F031EE"/>
    <w:rsid w:val="00F0354A"/>
    <w:rsid w:val="00F03C0E"/>
    <w:rsid w:val="00F0415F"/>
    <w:rsid w:val="00F05759"/>
    <w:rsid w:val="00F058C3"/>
    <w:rsid w:val="00F05DF8"/>
    <w:rsid w:val="00F05E96"/>
    <w:rsid w:val="00F064EC"/>
    <w:rsid w:val="00F07701"/>
    <w:rsid w:val="00F07F39"/>
    <w:rsid w:val="00F07F69"/>
    <w:rsid w:val="00F07F6F"/>
    <w:rsid w:val="00F10519"/>
    <w:rsid w:val="00F10CB9"/>
    <w:rsid w:val="00F10E78"/>
    <w:rsid w:val="00F110CD"/>
    <w:rsid w:val="00F110D5"/>
    <w:rsid w:val="00F1113E"/>
    <w:rsid w:val="00F111C2"/>
    <w:rsid w:val="00F1130C"/>
    <w:rsid w:val="00F12351"/>
    <w:rsid w:val="00F12549"/>
    <w:rsid w:val="00F133AB"/>
    <w:rsid w:val="00F1394C"/>
    <w:rsid w:val="00F14B82"/>
    <w:rsid w:val="00F15193"/>
    <w:rsid w:val="00F16739"/>
    <w:rsid w:val="00F16DE2"/>
    <w:rsid w:val="00F16F96"/>
    <w:rsid w:val="00F2041D"/>
    <w:rsid w:val="00F2052B"/>
    <w:rsid w:val="00F20F53"/>
    <w:rsid w:val="00F211CA"/>
    <w:rsid w:val="00F21A4E"/>
    <w:rsid w:val="00F22183"/>
    <w:rsid w:val="00F2260F"/>
    <w:rsid w:val="00F230AB"/>
    <w:rsid w:val="00F242AD"/>
    <w:rsid w:val="00F247F2"/>
    <w:rsid w:val="00F24912"/>
    <w:rsid w:val="00F2518F"/>
    <w:rsid w:val="00F252A8"/>
    <w:rsid w:val="00F255D9"/>
    <w:rsid w:val="00F25C5A"/>
    <w:rsid w:val="00F26276"/>
    <w:rsid w:val="00F265F7"/>
    <w:rsid w:val="00F266CE"/>
    <w:rsid w:val="00F26D0A"/>
    <w:rsid w:val="00F27696"/>
    <w:rsid w:val="00F27A81"/>
    <w:rsid w:val="00F27FA6"/>
    <w:rsid w:val="00F30ACE"/>
    <w:rsid w:val="00F30D7B"/>
    <w:rsid w:val="00F3125C"/>
    <w:rsid w:val="00F31AC9"/>
    <w:rsid w:val="00F33DC8"/>
    <w:rsid w:val="00F34444"/>
    <w:rsid w:val="00F34FE9"/>
    <w:rsid w:val="00F35149"/>
    <w:rsid w:val="00F35893"/>
    <w:rsid w:val="00F36238"/>
    <w:rsid w:val="00F36BDE"/>
    <w:rsid w:val="00F37523"/>
    <w:rsid w:val="00F378F1"/>
    <w:rsid w:val="00F403A1"/>
    <w:rsid w:val="00F403DB"/>
    <w:rsid w:val="00F4065A"/>
    <w:rsid w:val="00F40A47"/>
    <w:rsid w:val="00F4275C"/>
    <w:rsid w:val="00F42AD4"/>
    <w:rsid w:val="00F434B2"/>
    <w:rsid w:val="00F45552"/>
    <w:rsid w:val="00F4557B"/>
    <w:rsid w:val="00F45693"/>
    <w:rsid w:val="00F45A18"/>
    <w:rsid w:val="00F45B08"/>
    <w:rsid w:val="00F45B8B"/>
    <w:rsid w:val="00F50E58"/>
    <w:rsid w:val="00F5111B"/>
    <w:rsid w:val="00F52077"/>
    <w:rsid w:val="00F52339"/>
    <w:rsid w:val="00F5277A"/>
    <w:rsid w:val="00F52F2E"/>
    <w:rsid w:val="00F532E8"/>
    <w:rsid w:val="00F537FF"/>
    <w:rsid w:val="00F5400C"/>
    <w:rsid w:val="00F543E8"/>
    <w:rsid w:val="00F54E36"/>
    <w:rsid w:val="00F55012"/>
    <w:rsid w:val="00F55DC8"/>
    <w:rsid w:val="00F560FE"/>
    <w:rsid w:val="00F56BF9"/>
    <w:rsid w:val="00F570CD"/>
    <w:rsid w:val="00F6016A"/>
    <w:rsid w:val="00F608D8"/>
    <w:rsid w:val="00F60CD6"/>
    <w:rsid w:val="00F6111C"/>
    <w:rsid w:val="00F614C0"/>
    <w:rsid w:val="00F61647"/>
    <w:rsid w:val="00F616B7"/>
    <w:rsid w:val="00F61C68"/>
    <w:rsid w:val="00F6205F"/>
    <w:rsid w:val="00F622F2"/>
    <w:rsid w:val="00F62B99"/>
    <w:rsid w:val="00F62D5E"/>
    <w:rsid w:val="00F62ED2"/>
    <w:rsid w:val="00F63455"/>
    <w:rsid w:val="00F63B12"/>
    <w:rsid w:val="00F64279"/>
    <w:rsid w:val="00F64B92"/>
    <w:rsid w:val="00F657CF"/>
    <w:rsid w:val="00F65808"/>
    <w:rsid w:val="00F6587D"/>
    <w:rsid w:val="00F658AC"/>
    <w:rsid w:val="00F669E7"/>
    <w:rsid w:val="00F66A00"/>
    <w:rsid w:val="00F66CFB"/>
    <w:rsid w:val="00F6752D"/>
    <w:rsid w:val="00F70C73"/>
    <w:rsid w:val="00F713A3"/>
    <w:rsid w:val="00F71555"/>
    <w:rsid w:val="00F715CB"/>
    <w:rsid w:val="00F71A8F"/>
    <w:rsid w:val="00F71AB8"/>
    <w:rsid w:val="00F71EE8"/>
    <w:rsid w:val="00F73590"/>
    <w:rsid w:val="00F738BE"/>
    <w:rsid w:val="00F74088"/>
    <w:rsid w:val="00F74FDF"/>
    <w:rsid w:val="00F75176"/>
    <w:rsid w:val="00F75330"/>
    <w:rsid w:val="00F75659"/>
    <w:rsid w:val="00F758FD"/>
    <w:rsid w:val="00F75984"/>
    <w:rsid w:val="00F75B66"/>
    <w:rsid w:val="00F75E36"/>
    <w:rsid w:val="00F7628A"/>
    <w:rsid w:val="00F76BD9"/>
    <w:rsid w:val="00F76FE4"/>
    <w:rsid w:val="00F80318"/>
    <w:rsid w:val="00F803D0"/>
    <w:rsid w:val="00F80703"/>
    <w:rsid w:val="00F80948"/>
    <w:rsid w:val="00F80B2C"/>
    <w:rsid w:val="00F81387"/>
    <w:rsid w:val="00F82134"/>
    <w:rsid w:val="00F822E3"/>
    <w:rsid w:val="00F82866"/>
    <w:rsid w:val="00F8296B"/>
    <w:rsid w:val="00F82E90"/>
    <w:rsid w:val="00F8379C"/>
    <w:rsid w:val="00F83FFA"/>
    <w:rsid w:val="00F841B0"/>
    <w:rsid w:val="00F841C0"/>
    <w:rsid w:val="00F841FB"/>
    <w:rsid w:val="00F84421"/>
    <w:rsid w:val="00F8449B"/>
    <w:rsid w:val="00F84A57"/>
    <w:rsid w:val="00F84B44"/>
    <w:rsid w:val="00F84B7B"/>
    <w:rsid w:val="00F85047"/>
    <w:rsid w:val="00F85691"/>
    <w:rsid w:val="00F8582E"/>
    <w:rsid w:val="00F8586B"/>
    <w:rsid w:val="00F85CD1"/>
    <w:rsid w:val="00F87032"/>
    <w:rsid w:val="00F87094"/>
    <w:rsid w:val="00F87267"/>
    <w:rsid w:val="00F87AB3"/>
    <w:rsid w:val="00F9014A"/>
    <w:rsid w:val="00F9052D"/>
    <w:rsid w:val="00F907C0"/>
    <w:rsid w:val="00F90D0F"/>
    <w:rsid w:val="00F913DC"/>
    <w:rsid w:val="00F914CF"/>
    <w:rsid w:val="00F91DDA"/>
    <w:rsid w:val="00F9258B"/>
    <w:rsid w:val="00F92F9E"/>
    <w:rsid w:val="00F93429"/>
    <w:rsid w:val="00F9397A"/>
    <w:rsid w:val="00F93A37"/>
    <w:rsid w:val="00F93D1F"/>
    <w:rsid w:val="00F94182"/>
    <w:rsid w:val="00F9431F"/>
    <w:rsid w:val="00F944D9"/>
    <w:rsid w:val="00F947B9"/>
    <w:rsid w:val="00F94A02"/>
    <w:rsid w:val="00F94A3B"/>
    <w:rsid w:val="00F94AB1"/>
    <w:rsid w:val="00F94DB3"/>
    <w:rsid w:val="00F9648D"/>
    <w:rsid w:val="00F96500"/>
    <w:rsid w:val="00F966CE"/>
    <w:rsid w:val="00F971FC"/>
    <w:rsid w:val="00F972B9"/>
    <w:rsid w:val="00F9735A"/>
    <w:rsid w:val="00FA055B"/>
    <w:rsid w:val="00FA06B6"/>
    <w:rsid w:val="00FA0CA9"/>
    <w:rsid w:val="00FA1E01"/>
    <w:rsid w:val="00FA2C35"/>
    <w:rsid w:val="00FA2C75"/>
    <w:rsid w:val="00FA31E7"/>
    <w:rsid w:val="00FA336F"/>
    <w:rsid w:val="00FA3673"/>
    <w:rsid w:val="00FA413A"/>
    <w:rsid w:val="00FA4144"/>
    <w:rsid w:val="00FA4809"/>
    <w:rsid w:val="00FA4DDF"/>
    <w:rsid w:val="00FA541E"/>
    <w:rsid w:val="00FA5488"/>
    <w:rsid w:val="00FA556F"/>
    <w:rsid w:val="00FA5C71"/>
    <w:rsid w:val="00FA60E6"/>
    <w:rsid w:val="00FA6393"/>
    <w:rsid w:val="00FA645E"/>
    <w:rsid w:val="00FA67FB"/>
    <w:rsid w:val="00FA69E1"/>
    <w:rsid w:val="00FA6A01"/>
    <w:rsid w:val="00FA6DD8"/>
    <w:rsid w:val="00FA6E7F"/>
    <w:rsid w:val="00FA7114"/>
    <w:rsid w:val="00FA724F"/>
    <w:rsid w:val="00FA76BC"/>
    <w:rsid w:val="00FA77CB"/>
    <w:rsid w:val="00FA78A3"/>
    <w:rsid w:val="00FA7CEE"/>
    <w:rsid w:val="00FB052D"/>
    <w:rsid w:val="00FB1178"/>
    <w:rsid w:val="00FB1B46"/>
    <w:rsid w:val="00FB22D7"/>
    <w:rsid w:val="00FB2379"/>
    <w:rsid w:val="00FB240E"/>
    <w:rsid w:val="00FB2894"/>
    <w:rsid w:val="00FB2D32"/>
    <w:rsid w:val="00FB33A0"/>
    <w:rsid w:val="00FB3C95"/>
    <w:rsid w:val="00FB3CB7"/>
    <w:rsid w:val="00FB42BE"/>
    <w:rsid w:val="00FB452D"/>
    <w:rsid w:val="00FB4B8A"/>
    <w:rsid w:val="00FB4E42"/>
    <w:rsid w:val="00FB5152"/>
    <w:rsid w:val="00FB5957"/>
    <w:rsid w:val="00FB5F8F"/>
    <w:rsid w:val="00FB680E"/>
    <w:rsid w:val="00FB6B73"/>
    <w:rsid w:val="00FB706D"/>
    <w:rsid w:val="00FB770C"/>
    <w:rsid w:val="00FB7A0B"/>
    <w:rsid w:val="00FC0065"/>
    <w:rsid w:val="00FC0148"/>
    <w:rsid w:val="00FC062F"/>
    <w:rsid w:val="00FC0754"/>
    <w:rsid w:val="00FC1E7D"/>
    <w:rsid w:val="00FC2232"/>
    <w:rsid w:val="00FC2370"/>
    <w:rsid w:val="00FC23DB"/>
    <w:rsid w:val="00FC2E77"/>
    <w:rsid w:val="00FC3AEE"/>
    <w:rsid w:val="00FC4FE5"/>
    <w:rsid w:val="00FC5410"/>
    <w:rsid w:val="00FC605C"/>
    <w:rsid w:val="00FC6238"/>
    <w:rsid w:val="00FC7951"/>
    <w:rsid w:val="00FC7B47"/>
    <w:rsid w:val="00FC7EAE"/>
    <w:rsid w:val="00FD072B"/>
    <w:rsid w:val="00FD1058"/>
    <w:rsid w:val="00FD236B"/>
    <w:rsid w:val="00FD2785"/>
    <w:rsid w:val="00FD33FC"/>
    <w:rsid w:val="00FD3534"/>
    <w:rsid w:val="00FD3730"/>
    <w:rsid w:val="00FD3ADE"/>
    <w:rsid w:val="00FD3B08"/>
    <w:rsid w:val="00FD4806"/>
    <w:rsid w:val="00FD4BA4"/>
    <w:rsid w:val="00FD534E"/>
    <w:rsid w:val="00FD56C7"/>
    <w:rsid w:val="00FD59C1"/>
    <w:rsid w:val="00FD5CBB"/>
    <w:rsid w:val="00FD6564"/>
    <w:rsid w:val="00FD6B74"/>
    <w:rsid w:val="00FD70AE"/>
    <w:rsid w:val="00FD7271"/>
    <w:rsid w:val="00FD7FFD"/>
    <w:rsid w:val="00FE002E"/>
    <w:rsid w:val="00FE2398"/>
    <w:rsid w:val="00FE37EC"/>
    <w:rsid w:val="00FE3EAD"/>
    <w:rsid w:val="00FE4ECB"/>
    <w:rsid w:val="00FE515A"/>
    <w:rsid w:val="00FE5421"/>
    <w:rsid w:val="00FE5624"/>
    <w:rsid w:val="00FE5AEE"/>
    <w:rsid w:val="00FE5D2C"/>
    <w:rsid w:val="00FE5FBF"/>
    <w:rsid w:val="00FE6016"/>
    <w:rsid w:val="00FE61F1"/>
    <w:rsid w:val="00FE6C25"/>
    <w:rsid w:val="00FF033A"/>
    <w:rsid w:val="00FF048D"/>
    <w:rsid w:val="00FF0964"/>
    <w:rsid w:val="00FF0F67"/>
    <w:rsid w:val="00FF16F2"/>
    <w:rsid w:val="00FF1F9B"/>
    <w:rsid w:val="00FF24D4"/>
    <w:rsid w:val="00FF2B42"/>
    <w:rsid w:val="00FF2D5B"/>
    <w:rsid w:val="00FF2E36"/>
    <w:rsid w:val="00FF371D"/>
    <w:rsid w:val="00FF3B7F"/>
    <w:rsid w:val="00FF4F92"/>
    <w:rsid w:val="00FF54EB"/>
    <w:rsid w:val="00FF57A7"/>
    <w:rsid w:val="00FF6822"/>
    <w:rsid w:val="00FF73D0"/>
    <w:rsid w:val="00FF7DFF"/>
    <w:rsid w:val="03E945F0"/>
    <w:rsid w:val="0634275A"/>
    <w:rsid w:val="0B19BD1E"/>
    <w:rsid w:val="0C29C674"/>
    <w:rsid w:val="0E39905A"/>
    <w:rsid w:val="10E807B4"/>
    <w:rsid w:val="13DBBD0E"/>
    <w:rsid w:val="141204DA"/>
    <w:rsid w:val="14B2953F"/>
    <w:rsid w:val="14E7D7E2"/>
    <w:rsid w:val="16512788"/>
    <w:rsid w:val="1707AAAD"/>
    <w:rsid w:val="171A2801"/>
    <w:rsid w:val="1A219784"/>
    <w:rsid w:val="1A4D24FE"/>
    <w:rsid w:val="1AE54809"/>
    <w:rsid w:val="1E08858A"/>
    <w:rsid w:val="1F90FB7E"/>
    <w:rsid w:val="208FF571"/>
    <w:rsid w:val="20BFB7CE"/>
    <w:rsid w:val="25638B06"/>
    <w:rsid w:val="25818FC1"/>
    <w:rsid w:val="26718AF2"/>
    <w:rsid w:val="27FF391F"/>
    <w:rsid w:val="292E125F"/>
    <w:rsid w:val="29439F6D"/>
    <w:rsid w:val="2ADAB65B"/>
    <w:rsid w:val="2CF2A8ED"/>
    <w:rsid w:val="2E8FDA15"/>
    <w:rsid w:val="32975CEE"/>
    <w:rsid w:val="3523FA96"/>
    <w:rsid w:val="35704B02"/>
    <w:rsid w:val="357C2CEC"/>
    <w:rsid w:val="3598094A"/>
    <w:rsid w:val="366ACC68"/>
    <w:rsid w:val="367A7B3B"/>
    <w:rsid w:val="3799358E"/>
    <w:rsid w:val="388A792E"/>
    <w:rsid w:val="3AFCA7D2"/>
    <w:rsid w:val="3CC38AEA"/>
    <w:rsid w:val="3D6BB063"/>
    <w:rsid w:val="3E61DC49"/>
    <w:rsid w:val="3EBC24D4"/>
    <w:rsid w:val="41C205CD"/>
    <w:rsid w:val="42CF741F"/>
    <w:rsid w:val="4823D762"/>
    <w:rsid w:val="4A8313F8"/>
    <w:rsid w:val="5131AAFB"/>
    <w:rsid w:val="5661704D"/>
    <w:rsid w:val="58A03154"/>
    <w:rsid w:val="5BA67432"/>
    <w:rsid w:val="5C0B8DB2"/>
    <w:rsid w:val="5CA8FBF1"/>
    <w:rsid w:val="5D5C0E1D"/>
    <w:rsid w:val="616E0EEC"/>
    <w:rsid w:val="63C7FDE8"/>
    <w:rsid w:val="664C5956"/>
    <w:rsid w:val="668741B3"/>
    <w:rsid w:val="6859398A"/>
    <w:rsid w:val="6A4406F8"/>
    <w:rsid w:val="6A6B40BD"/>
    <w:rsid w:val="6C12AD9E"/>
    <w:rsid w:val="6F80CD8C"/>
    <w:rsid w:val="7113C53D"/>
    <w:rsid w:val="715B7525"/>
    <w:rsid w:val="7235E4DA"/>
    <w:rsid w:val="725C27BF"/>
    <w:rsid w:val="72763267"/>
    <w:rsid w:val="7295651C"/>
    <w:rsid w:val="7591DA90"/>
    <w:rsid w:val="75A79B93"/>
    <w:rsid w:val="76EE2E29"/>
    <w:rsid w:val="772224CE"/>
    <w:rsid w:val="7724C247"/>
    <w:rsid w:val="78749862"/>
    <w:rsid w:val="7AD99C4D"/>
    <w:rsid w:val="7BA844F3"/>
    <w:rsid w:val="7EDF49CD"/>
    <w:rsid w:val="7FE78F4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0654ED9-4C9F-4ABF-8806-71EA04A076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75453"/>
    <w:pPr>
      <w:overflowPunct w:val="0"/>
      <w:autoSpaceDE w:val="0"/>
      <w:autoSpaceDN w:val="0"/>
      <w:adjustRightInd w:val="0"/>
      <w:spacing w:after="180"/>
    </w:pPr>
    <w:rPr>
      <w:rFonts w:ascii="Times New Roman" w:hAnsi="Times New Roman"/>
      <w:lang w:val="en-GB" w:eastAsia="zh-TW"/>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pPr>
    <w:rPr>
      <w:rFonts w:eastAsia="MS Mincho"/>
    </w:rPr>
  </w:style>
  <w:style w:type="paragraph" w:styleId="BodyText2">
    <w:name w:val="Body Text 2"/>
    <w:basedOn w:val="Normal"/>
    <w:rsid w:val="005831DD"/>
    <w:pPr>
      <w:overflowPunct/>
      <w:autoSpaceDE/>
      <w:autoSpaceDN/>
      <w:adjustRightInd/>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cap Char Char Char Char Char Char Char,Caption Char2,Caption Char Char Char,Caption Char Char1,fig and tbl,fighead2,Table Caption"/>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cap Char Char Char Char Char Char Char Char,Caption Char2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table" w:styleId="TableGridLight">
    <w:name w:val="Grid Table Light"/>
    <w:basedOn w:val="TableNormal"/>
    <w:uiPriority w:val="40"/>
    <w:rsid w:val="0099307C"/>
    <w:rPr>
      <w:rFonts w:asciiTheme="minorHAnsi" w:eastAsiaTheme="minorHAnsi" w:hAnsiTheme="minorHAnsi" w:cstheme="minorBidi"/>
      <w:sz w:val="22"/>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normaltextrun">
    <w:name w:val="normaltextrun"/>
    <w:basedOn w:val="DefaultParagraphFont"/>
    <w:rsid w:val="009E698C"/>
  </w:style>
  <w:style w:type="paragraph" w:customStyle="1" w:styleId="paragraph">
    <w:name w:val="paragraph"/>
    <w:basedOn w:val="Normal"/>
    <w:rsid w:val="00A7051B"/>
    <w:pPr>
      <w:overflowPunct/>
      <w:autoSpaceDE/>
      <w:autoSpaceDN/>
      <w:adjustRightInd/>
      <w:spacing w:before="100" w:beforeAutospacing="1" w:after="100" w:afterAutospacing="1"/>
    </w:pPr>
    <w:rPr>
      <w:rFonts w:eastAsia="Times New Roman"/>
      <w:sz w:val="24"/>
      <w:szCs w:val="24"/>
      <w:lang w:val="da-DK" w:eastAsia="da-DK"/>
    </w:rPr>
  </w:style>
  <w:style w:type="character" w:customStyle="1" w:styleId="eop">
    <w:name w:val="eop"/>
    <w:basedOn w:val="DefaultParagraphFont"/>
    <w:rsid w:val="00A7051B"/>
  </w:style>
  <w:style w:type="character" w:styleId="Mention">
    <w:name w:val="Mention"/>
    <w:basedOn w:val="DefaultParagraphFont"/>
    <w:uiPriority w:val="99"/>
    <w:unhideWhenUsed/>
    <w:rsid w:val="00CB1BAE"/>
    <w:rPr>
      <w:color w:val="2B579A"/>
      <w:shd w:val="clear" w:color="auto" w:fill="E1DFDD"/>
    </w:rPr>
  </w:style>
  <w:style w:type="character" w:customStyle="1" w:styleId="TALChar">
    <w:name w:val="TAL Char"/>
    <w:basedOn w:val="DefaultParagraphFont"/>
    <w:link w:val="TAL"/>
    <w:locked/>
    <w:rsid w:val="00642084"/>
    <w:rPr>
      <w:rFonts w:ascii="Arial" w:hAnsi="Arial"/>
      <w:sz w:val="18"/>
      <w:lang w:val="en-GB"/>
    </w:rPr>
  </w:style>
  <w:style w:type="table" w:customStyle="1" w:styleId="TableGrid1">
    <w:name w:val="Table Grid1"/>
    <w:basedOn w:val="TableNormal"/>
    <w:next w:val="TableGrid"/>
    <w:uiPriority w:val="39"/>
    <w:qFormat/>
    <w:rsid w:val="002A092C"/>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
    <w:name w:val="标题4"/>
    <w:basedOn w:val="Normal"/>
    <w:rsid w:val="002F4893"/>
    <w:pPr>
      <w:numPr>
        <w:numId w:val="14"/>
      </w:numPr>
      <w:textAlignment w:val="baseline"/>
    </w:pPr>
    <w:rPr>
      <w:rFonts w:eastAsia="Times New Roman"/>
      <w:lang w:val="en-US" w:eastAsia="en-GB"/>
    </w:rPr>
  </w:style>
  <w:style w:type="paragraph" w:customStyle="1" w:styleId="2">
    <w:name w:val="列出段落2"/>
    <w:basedOn w:val="Normal"/>
    <w:link w:val="a"/>
    <w:uiPriority w:val="34"/>
    <w:qFormat/>
    <w:rsid w:val="00A87598"/>
    <w:pPr>
      <w:suppressAutoHyphens/>
      <w:overflowPunct/>
      <w:autoSpaceDE/>
      <w:autoSpaceDN/>
      <w:adjustRightInd/>
      <w:spacing w:after="50"/>
      <w:ind w:left="840"/>
    </w:pPr>
    <w:rPr>
      <w:rFonts w:ascii="Cambria" w:eastAsia="SimHei" w:hAnsi="Cambria" w:cs="SimSun"/>
      <w:lang w:val="en-US"/>
    </w:rPr>
  </w:style>
  <w:style w:type="character" w:customStyle="1" w:styleId="a">
    <w:name w:val="列出段落 字符"/>
    <w:link w:val="2"/>
    <w:uiPriority w:val="34"/>
    <w:qFormat/>
    <w:rsid w:val="00A87598"/>
    <w:rPr>
      <w:rFonts w:ascii="Cambria" w:eastAsia="SimHei" w:hAnsi="Cambria" w:cs="SimSun"/>
    </w:rPr>
  </w:style>
  <w:style w:type="character" w:styleId="Emphasis">
    <w:name w:val="Emphasis"/>
    <w:basedOn w:val="DefaultParagraphFont"/>
    <w:qFormat/>
    <w:rsid w:val="00000011"/>
    <w:rPr>
      <w:i/>
      <w:iCs/>
    </w:rPr>
  </w:style>
  <w:style w:type="paragraph" w:customStyle="1" w:styleId="Reference">
    <w:name w:val="Reference"/>
    <w:basedOn w:val="BodyText"/>
    <w:locked/>
    <w:rsid w:val="00500AE7"/>
    <w:pPr>
      <w:numPr>
        <w:numId w:val="24"/>
      </w:numPr>
      <w:tabs>
        <w:tab w:val="clear" w:pos="567"/>
        <w:tab w:val="num" w:pos="360"/>
      </w:tabs>
      <w:overflowPunct/>
      <w:autoSpaceDE/>
      <w:autoSpaceDN/>
      <w:adjustRightInd/>
      <w:spacing w:line="256" w:lineRule="auto"/>
      <w:ind w:left="0" w:firstLine="0"/>
      <w:jc w:val="both"/>
    </w:pPr>
    <w:rPr>
      <w:rFonts w:ascii="Arial" w:eastAsiaTheme="minorHAnsi" w:hAnsi="Arial" w:cstheme="minorBidi"/>
      <w:szCs w:val="22"/>
      <w:lang w:val="en-US" w:eastAsia="zh-CN"/>
    </w:rPr>
  </w:style>
  <w:style w:type="table" w:customStyle="1" w:styleId="TableGrid2">
    <w:name w:val="Table Grid2"/>
    <w:basedOn w:val="TableNormal"/>
    <w:next w:val="TableGrid"/>
    <w:uiPriority w:val="39"/>
    <w:rsid w:val="00F61C68"/>
    <w:rPr>
      <w:rFonts w:ascii="Calibri" w:eastAsia="DengXian" w:hAnsi="Calibri"/>
      <w:sz w:val="22"/>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2679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17673">
      <w:bodyDiv w:val="1"/>
      <w:marLeft w:val="0"/>
      <w:marRight w:val="0"/>
      <w:marTop w:val="0"/>
      <w:marBottom w:val="0"/>
      <w:divBdr>
        <w:top w:val="none" w:sz="0" w:space="0" w:color="auto"/>
        <w:left w:val="none" w:sz="0" w:space="0" w:color="auto"/>
        <w:bottom w:val="none" w:sz="0" w:space="0" w:color="auto"/>
        <w:right w:val="none" w:sz="0" w:space="0" w:color="auto"/>
      </w:divBdr>
    </w:div>
    <w:div w:id="19210527">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0347508">
      <w:bodyDiv w:val="1"/>
      <w:marLeft w:val="0"/>
      <w:marRight w:val="0"/>
      <w:marTop w:val="0"/>
      <w:marBottom w:val="0"/>
      <w:divBdr>
        <w:top w:val="none" w:sz="0" w:space="0" w:color="auto"/>
        <w:left w:val="none" w:sz="0" w:space="0" w:color="auto"/>
        <w:bottom w:val="none" w:sz="0" w:space="0" w:color="auto"/>
        <w:right w:val="none" w:sz="0" w:space="0" w:color="auto"/>
      </w:divBdr>
    </w:div>
    <w:div w:id="35397803">
      <w:bodyDiv w:val="1"/>
      <w:marLeft w:val="0"/>
      <w:marRight w:val="0"/>
      <w:marTop w:val="0"/>
      <w:marBottom w:val="0"/>
      <w:divBdr>
        <w:top w:val="none" w:sz="0" w:space="0" w:color="auto"/>
        <w:left w:val="none" w:sz="0" w:space="0" w:color="auto"/>
        <w:bottom w:val="none" w:sz="0" w:space="0" w:color="auto"/>
        <w:right w:val="none" w:sz="0" w:space="0" w:color="auto"/>
      </w:divBdr>
      <w:divsChild>
        <w:div w:id="1040011497">
          <w:marLeft w:val="432"/>
          <w:marRight w:val="0"/>
          <w:marTop w:val="240"/>
          <w:marBottom w:val="0"/>
          <w:divBdr>
            <w:top w:val="none" w:sz="0" w:space="0" w:color="auto"/>
            <w:left w:val="none" w:sz="0" w:space="0" w:color="auto"/>
            <w:bottom w:val="none" w:sz="0" w:space="0" w:color="auto"/>
            <w:right w:val="none" w:sz="0" w:space="0" w:color="auto"/>
          </w:divBdr>
        </w:div>
        <w:div w:id="873348284">
          <w:marLeft w:val="1267"/>
          <w:marRight w:val="0"/>
          <w:marTop w:val="180"/>
          <w:marBottom w:val="0"/>
          <w:divBdr>
            <w:top w:val="none" w:sz="0" w:space="0" w:color="auto"/>
            <w:left w:val="none" w:sz="0" w:space="0" w:color="auto"/>
            <w:bottom w:val="none" w:sz="0" w:space="0" w:color="auto"/>
            <w:right w:val="none" w:sz="0" w:space="0" w:color="auto"/>
          </w:divBdr>
        </w:div>
      </w:divsChild>
    </w:div>
    <w:div w:id="40254757">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271603">
      <w:bodyDiv w:val="1"/>
      <w:marLeft w:val="0"/>
      <w:marRight w:val="0"/>
      <w:marTop w:val="0"/>
      <w:marBottom w:val="0"/>
      <w:divBdr>
        <w:top w:val="none" w:sz="0" w:space="0" w:color="auto"/>
        <w:left w:val="none" w:sz="0" w:space="0" w:color="auto"/>
        <w:bottom w:val="none" w:sz="0" w:space="0" w:color="auto"/>
        <w:right w:val="none" w:sz="0" w:space="0" w:color="auto"/>
      </w:divBdr>
    </w:div>
    <w:div w:id="56519829">
      <w:bodyDiv w:val="1"/>
      <w:marLeft w:val="0"/>
      <w:marRight w:val="0"/>
      <w:marTop w:val="0"/>
      <w:marBottom w:val="0"/>
      <w:divBdr>
        <w:top w:val="none" w:sz="0" w:space="0" w:color="auto"/>
        <w:left w:val="none" w:sz="0" w:space="0" w:color="auto"/>
        <w:bottom w:val="none" w:sz="0" w:space="0" w:color="auto"/>
        <w:right w:val="none" w:sz="0" w:space="0" w:color="auto"/>
      </w:divBdr>
    </w:div>
    <w:div w:id="60640209">
      <w:bodyDiv w:val="1"/>
      <w:marLeft w:val="0"/>
      <w:marRight w:val="0"/>
      <w:marTop w:val="0"/>
      <w:marBottom w:val="0"/>
      <w:divBdr>
        <w:top w:val="none" w:sz="0" w:space="0" w:color="auto"/>
        <w:left w:val="none" w:sz="0" w:space="0" w:color="auto"/>
        <w:bottom w:val="none" w:sz="0" w:space="0" w:color="auto"/>
        <w:right w:val="none" w:sz="0" w:space="0" w:color="auto"/>
      </w:divBdr>
    </w:div>
    <w:div w:id="65616401">
      <w:bodyDiv w:val="1"/>
      <w:marLeft w:val="0"/>
      <w:marRight w:val="0"/>
      <w:marTop w:val="0"/>
      <w:marBottom w:val="0"/>
      <w:divBdr>
        <w:top w:val="none" w:sz="0" w:space="0" w:color="auto"/>
        <w:left w:val="none" w:sz="0" w:space="0" w:color="auto"/>
        <w:bottom w:val="none" w:sz="0" w:space="0" w:color="auto"/>
        <w:right w:val="none" w:sz="0" w:space="0" w:color="auto"/>
      </w:divBdr>
      <w:divsChild>
        <w:div w:id="1077367148">
          <w:marLeft w:val="432"/>
          <w:marRight w:val="0"/>
          <w:marTop w:val="240"/>
          <w:marBottom w:val="0"/>
          <w:divBdr>
            <w:top w:val="none" w:sz="0" w:space="0" w:color="auto"/>
            <w:left w:val="none" w:sz="0" w:space="0" w:color="auto"/>
            <w:bottom w:val="none" w:sz="0" w:space="0" w:color="auto"/>
            <w:right w:val="none" w:sz="0" w:space="0" w:color="auto"/>
          </w:divBdr>
        </w:div>
        <w:div w:id="956909933">
          <w:marLeft w:val="432"/>
          <w:marRight w:val="0"/>
          <w:marTop w:val="240"/>
          <w:marBottom w:val="0"/>
          <w:divBdr>
            <w:top w:val="none" w:sz="0" w:space="0" w:color="auto"/>
            <w:left w:val="none" w:sz="0" w:space="0" w:color="auto"/>
            <w:bottom w:val="none" w:sz="0" w:space="0" w:color="auto"/>
            <w:right w:val="none" w:sz="0" w:space="0" w:color="auto"/>
          </w:divBdr>
        </w:div>
      </w:divsChild>
    </w:div>
    <w:div w:id="69931631">
      <w:bodyDiv w:val="1"/>
      <w:marLeft w:val="0"/>
      <w:marRight w:val="0"/>
      <w:marTop w:val="0"/>
      <w:marBottom w:val="0"/>
      <w:divBdr>
        <w:top w:val="none" w:sz="0" w:space="0" w:color="auto"/>
        <w:left w:val="none" w:sz="0" w:space="0" w:color="auto"/>
        <w:bottom w:val="none" w:sz="0" w:space="0" w:color="auto"/>
        <w:right w:val="none" w:sz="0" w:space="0" w:color="auto"/>
      </w:divBdr>
    </w:div>
    <w:div w:id="72899956">
      <w:bodyDiv w:val="1"/>
      <w:marLeft w:val="0"/>
      <w:marRight w:val="0"/>
      <w:marTop w:val="0"/>
      <w:marBottom w:val="0"/>
      <w:divBdr>
        <w:top w:val="none" w:sz="0" w:space="0" w:color="auto"/>
        <w:left w:val="none" w:sz="0" w:space="0" w:color="auto"/>
        <w:bottom w:val="none" w:sz="0" w:space="0" w:color="auto"/>
        <w:right w:val="none" w:sz="0" w:space="0" w:color="auto"/>
      </w:divBdr>
    </w:div>
    <w:div w:id="73162512">
      <w:bodyDiv w:val="1"/>
      <w:marLeft w:val="0"/>
      <w:marRight w:val="0"/>
      <w:marTop w:val="0"/>
      <w:marBottom w:val="0"/>
      <w:divBdr>
        <w:top w:val="none" w:sz="0" w:space="0" w:color="auto"/>
        <w:left w:val="none" w:sz="0" w:space="0" w:color="auto"/>
        <w:bottom w:val="none" w:sz="0" w:space="0" w:color="auto"/>
        <w:right w:val="none" w:sz="0" w:space="0" w:color="auto"/>
      </w:divBdr>
    </w:div>
    <w:div w:id="74327528">
      <w:bodyDiv w:val="1"/>
      <w:marLeft w:val="0"/>
      <w:marRight w:val="0"/>
      <w:marTop w:val="0"/>
      <w:marBottom w:val="0"/>
      <w:divBdr>
        <w:top w:val="none" w:sz="0" w:space="0" w:color="auto"/>
        <w:left w:val="none" w:sz="0" w:space="0" w:color="auto"/>
        <w:bottom w:val="none" w:sz="0" w:space="0" w:color="auto"/>
        <w:right w:val="none" w:sz="0" w:space="0" w:color="auto"/>
      </w:divBdr>
    </w:div>
    <w:div w:id="75396490">
      <w:bodyDiv w:val="1"/>
      <w:marLeft w:val="0"/>
      <w:marRight w:val="0"/>
      <w:marTop w:val="0"/>
      <w:marBottom w:val="0"/>
      <w:divBdr>
        <w:top w:val="none" w:sz="0" w:space="0" w:color="auto"/>
        <w:left w:val="none" w:sz="0" w:space="0" w:color="auto"/>
        <w:bottom w:val="none" w:sz="0" w:space="0" w:color="auto"/>
        <w:right w:val="none" w:sz="0" w:space="0" w:color="auto"/>
      </w:divBdr>
    </w:div>
    <w:div w:id="83302953">
      <w:bodyDiv w:val="1"/>
      <w:marLeft w:val="0"/>
      <w:marRight w:val="0"/>
      <w:marTop w:val="0"/>
      <w:marBottom w:val="0"/>
      <w:divBdr>
        <w:top w:val="none" w:sz="0" w:space="0" w:color="auto"/>
        <w:left w:val="none" w:sz="0" w:space="0" w:color="auto"/>
        <w:bottom w:val="none" w:sz="0" w:space="0" w:color="auto"/>
        <w:right w:val="none" w:sz="0" w:space="0" w:color="auto"/>
      </w:divBdr>
    </w:div>
    <w:div w:id="8974118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432313">
      <w:bodyDiv w:val="1"/>
      <w:marLeft w:val="0"/>
      <w:marRight w:val="0"/>
      <w:marTop w:val="0"/>
      <w:marBottom w:val="0"/>
      <w:divBdr>
        <w:top w:val="none" w:sz="0" w:space="0" w:color="auto"/>
        <w:left w:val="none" w:sz="0" w:space="0" w:color="auto"/>
        <w:bottom w:val="none" w:sz="0" w:space="0" w:color="auto"/>
        <w:right w:val="none" w:sz="0" w:space="0" w:color="auto"/>
      </w:divBdr>
      <w:divsChild>
        <w:div w:id="1263031646">
          <w:marLeft w:val="360"/>
          <w:marRight w:val="0"/>
          <w:marTop w:val="0"/>
          <w:marBottom w:val="60"/>
          <w:divBdr>
            <w:top w:val="none" w:sz="0" w:space="0" w:color="auto"/>
            <w:left w:val="none" w:sz="0" w:space="0" w:color="auto"/>
            <w:bottom w:val="none" w:sz="0" w:space="0" w:color="auto"/>
            <w:right w:val="none" w:sz="0" w:space="0" w:color="auto"/>
          </w:divBdr>
        </w:div>
      </w:divsChild>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457489">
      <w:bodyDiv w:val="1"/>
      <w:marLeft w:val="0"/>
      <w:marRight w:val="0"/>
      <w:marTop w:val="0"/>
      <w:marBottom w:val="0"/>
      <w:divBdr>
        <w:top w:val="none" w:sz="0" w:space="0" w:color="auto"/>
        <w:left w:val="none" w:sz="0" w:space="0" w:color="auto"/>
        <w:bottom w:val="none" w:sz="0" w:space="0" w:color="auto"/>
        <w:right w:val="none" w:sz="0" w:space="0" w:color="auto"/>
      </w:divBdr>
    </w:div>
    <w:div w:id="117722633">
      <w:bodyDiv w:val="1"/>
      <w:marLeft w:val="0"/>
      <w:marRight w:val="0"/>
      <w:marTop w:val="0"/>
      <w:marBottom w:val="0"/>
      <w:divBdr>
        <w:top w:val="none" w:sz="0" w:space="0" w:color="auto"/>
        <w:left w:val="none" w:sz="0" w:space="0" w:color="auto"/>
        <w:bottom w:val="none" w:sz="0" w:space="0" w:color="auto"/>
        <w:right w:val="none" w:sz="0" w:space="0" w:color="auto"/>
      </w:divBdr>
    </w:div>
    <w:div w:id="120924570">
      <w:bodyDiv w:val="1"/>
      <w:marLeft w:val="0"/>
      <w:marRight w:val="0"/>
      <w:marTop w:val="0"/>
      <w:marBottom w:val="0"/>
      <w:divBdr>
        <w:top w:val="none" w:sz="0" w:space="0" w:color="auto"/>
        <w:left w:val="none" w:sz="0" w:space="0" w:color="auto"/>
        <w:bottom w:val="none" w:sz="0" w:space="0" w:color="auto"/>
        <w:right w:val="none" w:sz="0" w:space="0" w:color="auto"/>
      </w:divBdr>
    </w:div>
    <w:div w:id="131794423">
      <w:bodyDiv w:val="1"/>
      <w:marLeft w:val="0"/>
      <w:marRight w:val="0"/>
      <w:marTop w:val="0"/>
      <w:marBottom w:val="0"/>
      <w:divBdr>
        <w:top w:val="none" w:sz="0" w:space="0" w:color="auto"/>
        <w:left w:val="none" w:sz="0" w:space="0" w:color="auto"/>
        <w:bottom w:val="none" w:sz="0" w:space="0" w:color="auto"/>
        <w:right w:val="none" w:sz="0" w:space="0" w:color="auto"/>
      </w:divBdr>
    </w:div>
    <w:div w:id="134875047">
      <w:bodyDiv w:val="1"/>
      <w:marLeft w:val="0"/>
      <w:marRight w:val="0"/>
      <w:marTop w:val="0"/>
      <w:marBottom w:val="0"/>
      <w:divBdr>
        <w:top w:val="none" w:sz="0" w:space="0" w:color="auto"/>
        <w:left w:val="none" w:sz="0" w:space="0" w:color="auto"/>
        <w:bottom w:val="none" w:sz="0" w:space="0" w:color="auto"/>
        <w:right w:val="none" w:sz="0" w:space="0" w:color="auto"/>
      </w:divBdr>
    </w:div>
    <w:div w:id="141771373">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3907096">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3109263">
      <w:bodyDiv w:val="1"/>
      <w:marLeft w:val="0"/>
      <w:marRight w:val="0"/>
      <w:marTop w:val="0"/>
      <w:marBottom w:val="0"/>
      <w:divBdr>
        <w:top w:val="none" w:sz="0" w:space="0" w:color="auto"/>
        <w:left w:val="none" w:sz="0" w:space="0" w:color="auto"/>
        <w:bottom w:val="none" w:sz="0" w:space="0" w:color="auto"/>
        <w:right w:val="none" w:sz="0" w:space="0" w:color="auto"/>
      </w:divBdr>
    </w:div>
    <w:div w:id="18730550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190533886">
      <w:bodyDiv w:val="1"/>
      <w:marLeft w:val="0"/>
      <w:marRight w:val="0"/>
      <w:marTop w:val="0"/>
      <w:marBottom w:val="0"/>
      <w:divBdr>
        <w:top w:val="none" w:sz="0" w:space="0" w:color="auto"/>
        <w:left w:val="none" w:sz="0" w:space="0" w:color="auto"/>
        <w:bottom w:val="none" w:sz="0" w:space="0" w:color="auto"/>
        <w:right w:val="none" w:sz="0" w:space="0" w:color="auto"/>
      </w:divBdr>
    </w:div>
    <w:div w:id="195312007">
      <w:bodyDiv w:val="1"/>
      <w:marLeft w:val="0"/>
      <w:marRight w:val="0"/>
      <w:marTop w:val="0"/>
      <w:marBottom w:val="0"/>
      <w:divBdr>
        <w:top w:val="none" w:sz="0" w:space="0" w:color="auto"/>
        <w:left w:val="none" w:sz="0" w:space="0" w:color="auto"/>
        <w:bottom w:val="none" w:sz="0" w:space="0" w:color="auto"/>
        <w:right w:val="none" w:sz="0" w:space="0" w:color="auto"/>
      </w:divBdr>
    </w:div>
    <w:div w:id="195510863">
      <w:bodyDiv w:val="1"/>
      <w:marLeft w:val="0"/>
      <w:marRight w:val="0"/>
      <w:marTop w:val="0"/>
      <w:marBottom w:val="0"/>
      <w:divBdr>
        <w:top w:val="none" w:sz="0" w:space="0" w:color="auto"/>
        <w:left w:val="none" w:sz="0" w:space="0" w:color="auto"/>
        <w:bottom w:val="none" w:sz="0" w:space="0" w:color="auto"/>
        <w:right w:val="none" w:sz="0" w:space="0" w:color="auto"/>
      </w:divBdr>
    </w:div>
    <w:div w:id="223762843">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7982045">
      <w:bodyDiv w:val="1"/>
      <w:marLeft w:val="0"/>
      <w:marRight w:val="0"/>
      <w:marTop w:val="0"/>
      <w:marBottom w:val="0"/>
      <w:divBdr>
        <w:top w:val="none" w:sz="0" w:space="0" w:color="auto"/>
        <w:left w:val="none" w:sz="0" w:space="0" w:color="auto"/>
        <w:bottom w:val="none" w:sz="0" w:space="0" w:color="auto"/>
        <w:right w:val="none" w:sz="0" w:space="0" w:color="auto"/>
      </w:divBdr>
    </w:div>
    <w:div w:id="241259050">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2640866">
      <w:bodyDiv w:val="1"/>
      <w:marLeft w:val="0"/>
      <w:marRight w:val="0"/>
      <w:marTop w:val="0"/>
      <w:marBottom w:val="0"/>
      <w:divBdr>
        <w:top w:val="none" w:sz="0" w:space="0" w:color="auto"/>
        <w:left w:val="none" w:sz="0" w:space="0" w:color="auto"/>
        <w:bottom w:val="none" w:sz="0" w:space="0" w:color="auto"/>
        <w:right w:val="none" w:sz="0" w:space="0" w:color="auto"/>
      </w:divBdr>
    </w:div>
    <w:div w:id="25179052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0623372">
      <w:bodyDiv w:val="1"/>
      <w:marLeft w:val="0"/>
      <w:marRight w:val="0"/>
      <w:marTop w:val="0"/>
      <w:marBottom w:val="0"/>
      <w:divBdr>
        <w:top w:val="none" w:sz="0" w:space="0" w:color="auto"/>
        <w:left w:val="none" w:sz="0" w:space="0" w:color="auto"/>
        <w:bottom w:val="none" w:sz="0" w:space="0" w:color="auto"/>
        <w:right w:val="none" w:sz="0" w:space="0" w:color="auto"/>
      </w:divBdr>
    </w:div>
    <w:div w:id="274824016">
      <w:bodyDiv w:val="1"/>
      <w:marLeft w:val="0"/>
      <w:marRight w:val="0"/>
      <w:marTop w:val="0"/>
      <w:marBottom w:val="0"/>
      <w:divBdr>
        <w:top w:val="none" w:sz="0" w:space="0" w:color="auto"/>
        <w:left w:val="none" w:sz="0" w:space="0" w:color="auto"/>
        <w:bottom w:val="none" w:sz="0" w:space="0" w:color="auto"/>
        <w:right w:val="none" w:sz="0" w:space="0" w:color="auto"/>
      </w:divBdr>
    </w:div>
    <w:div w:id="290521326">
      <w:bodyDiv w:val="1"/>
      <w:marLeft w:val="0"/>
      <w:marRight w:val="0"/>
      <w:marTop w:val="0"/>
      <w:marBottom w:val="0"/>
      <w:divBdr>
        <w:top w:val="none" w:sz="0" w:space="0" w:color="auto"/>
        <w:left w:val="none" w:sz="0" w:space="0" w:color="auto"/>
        <w:bottom w:val="none" w:sz="0" w:space="0" w:color="auto"/>
        <w:right w:val="none" w:sz="0" w:space="0" w:color="auto"/>
      </w:divBdr>
    </w:div>
    <w:div w:id="294455174">
      <w:bodyDiv w:val="1"/>
      <w:marLeft w:val="0"/>
      <w:marRight w:val="0"/>
      <w:marTop w:val="0"/>
      <w:marBottom w:val="0"/>
      <w:divBdr>
        <w:top w:val="none" w:sz="0" w:space="0" w:color="auto"/>
        <w:left w:val="none" w:sz="0" w:space="0" w:color="auto"/>
        <w:bottom w:val="none" w:sz="0" w:space="0" w:color="auto"/>
        <w:right w:val="none" w:sz="0" w:space="0" w:color="auto"/>
      </w:divBdr>
    </w:div>
    <w:div w:id="294724105">
      <w:bodyDiv w:val="1"/>
      <w:marLeft w:val="0"/>
      <w:marRight w:val="0"/>
      <w:marTop w:val="0"/>
      <w:marBottom w:val="0"/>
      <w:divBdr>
        <w:top w:val="none" w:sz="0" w:space="0" w:color="auto"/>
        <w:left w:val="none" w:sz="0" w:space="0" w:color="auto"/>
        <w:bottom w:val="none" w:sz="0" w:space="0" w:color="auto"/>
        <w:right w:val="none" w:sz="0" w:space="0" w:color="auto"/>
      </w:divBdr>
    </w:div>
    <w:div w:id="301735952">
      <w:bodyDiv w:val="1"/>
      <w:marLeft w:val="0"/>
      <w:marRight w:val="0"/>
      <w:marTop w:val="0"/>
      <w:marBottom w:val="0"/>
      <w:divBdr>
        <w:top w:val="none" w:sz="0" w:space="0" w:color="auto"/>
        <w:left w:val="none" w:sz="0" w:space="0" w:color="auto"/>
        <w:bottom w:val="none" w:sz="0" w:space="0" w:color="auto"/>
        <w:right w:val="none" w:sz="0" w:space="0" w:color="auto"/>
      </w:divBdr>
    </w:div>
    <w:div w:id="316224358">
      <w:bodyDiv w:val="1"/>
      <w:marLeft w:val="0"/>
      <w:marRight w:val="0"/>
      <w:marTop w:val="0"/>
      <w:marBottom w:val="0"/>
      <w:divBdr>
        <w:top w:val="none" w:sz="0" w:space="0" w:color="auto"/>
        <w:left w:val="none" w:sz="0" w:space="0" w:color="auto"/>
        <w:bottom w:val="none" w:sz="0" w:space="0" w:color="auto"/>
        <w:right w:val="none" w:sz="0" w:space="0" w:color="auto"/>
      </w:divBdr>
    </w:div>
    <w:div w:id="318000823">
      <w:bodyDiv w:val="1"/>
      <w:marLeft w:val="0"/>
      <w:marRight w:val="0"/>
      <w:marTop w:val="0"/>
      <w:marBottom w:val="0"/>
      <w:divBdr>
        <w:top w:val="none" w:sz="0" w:space="0" w:color="auto"/>
        <w:left w:val="none" w:sz="0" w:space="0" w:color="auto"/>
        <w:bottom w:val="none" w:sz="0" w:space="0" w:color="auto"/>
        <w:right w:val="none" w:sz="0" w:space="0" w:color="auto"/>
      </w:divBdr>
    </w:div>
    <w:div w:id="326712285">
      <w:bodyDiv w:val="1"/>
      <w:marLeft w:val="0"/>
      <w:marRight w:val="0"/>
      <w:marTop w:val="0"/>
      <w:marBottom w:val="0"/>
      <w:divBdr>
        <w:top w:val="none" w:sz="0" w:space="0" w:color="auto"/>
        <w:left w:val="none" w:sz="0" w:space="0" w:color="auto"/>
        <w:bottom w:val="none" w:sz="0" w:space="0" w:color="auto"/>
        <w:right w:val="none" w:sz="0" w:space="0" w:color="auto"/>
      </w:divBdr>
    </w:div>
    <w:div w:id="328413431">
      <w:bodyDiv w:val="1"/>
      <w:marLeft w:val="0"/>
      <w:marRight w:val="0"/>
      <w:marTop w:val="0"/>
      <w:marBottom w:val="0"/>
      <w:divBdr>
        <w:top w:val="none" w:sz="0" w:space="0" w:color="auto"/>
        <w:left w:val="none" w:sz="0" w:space="0" w:color="auto"/>
        <w:bottom w:val="none" w:sz="0" w:space="0" w:color="auto"/>
        <w:right w:val="none" w:sz="0" w:space="0" w:color="auto"/>
      </w:divBdr>
    </w:div>
    <w:div w:id="329604963">
      <w:bodyDiv w:val="1"/>
      <w:marLeft w:val="0"/>
      <w:marRight w:val="0"/>
      <w:marTop w:val="0"/>
      <w:marBottom w:val="0"/>
      <w:divBdr>
        <w:top w:val="none" w:sz="0" w:space="0" w:color="auto"/>
        <w:left w:val="none" w:sz="0" w:space="0" w:color="auto"/>
        <w:bottom w:val="none" w:sz="0" w:space="0" w:color="auto"/>
        <w:right w:val="none" w:sz="0" w:space="0" w:color="auto"/>
      </w:divBdr>
      <w:divsChild>
        <w:div w:id="186405601">
          <w:marLeft w:val="547"/>
          <w:marRight w:val="0"/>
          <w:marTop w:val="0"/>
          <w:marBottom w:val="0"/>
          <w:divBdr>
            <w:top w:val="none" w:sz="0" w:space="0" w:color="auto"/>
            <w:left w:val="none" w:sz="0" w:space="0" w:color="auto"/>
            <w:bottom w:val="none" w:sz="0" w:space="0" w:color="auto"/>
            <w:right w:val="none" w:sz="0" w:space="0" w:color="auto"/>
          </w:divBdr>
        </w:div>
        <w:div w:id="1088888710">
          <w:marLeft w:val="547"/>
          <w:marRight w:val="0"/>
          <w:marTop w:val="0"/>
          <w:marBottom w:val="0"/>
          <w:divBdr>
            <w:top w:val="none" w:sz="0" w:space="0" w:color="auto"/>
            <w:left w:val="none" w:sz="0" w:space="0" w:color="auto"/>
            <w:bottom w:val="none" w:sz="0" w:space="0" w:color="auto"/>
            <w:right w:val="none" w:sz="0" w:space="0" w:color="auto"/>
          </w:divBdr>
        </w:div>
        <w:div w:id="1179588212">
          <w:marLeft w:val="547"/>
          <w:marRight w:val="0"/>
          <w:marTop w:val="0"/>
          <w:marBottom w:val="0"/>
          <w:divBdr>
            <w:top w:val="none" w:sz="0" w:space="0" w:color="auto"/>
            <w:left w:val="none" w:sz="0" w:space="0" w:color="auto"/>
            <w:bottom w:val="none" w:sz="0" w:space="0" w:color="auto"/>
            <w:right w:val="none" w:sz="0" w:space="0" w:color="auto"/>
          </w:divBdr>
        </w:div>
        <w:div w:id="1990674527">
          <w:marLeft w:val="547"/>
          <w:marRight w:val="0"/>
          <w:marTop w:val="0"/>
          <w:marBottom w:val="0"/>
          <w:divBdr>
            <w:top w:val="none" w:sz="0" w:space="0" w:color="auto"/>
            <w:left w:val="none" w:sz="0" w:space="0" w:color="auto"/>
            <w:bottom w:val="none" w:sz="0" w:space="0" w:color="auto"/>
            <w:right w:val="none" w:sz="0" w:space="0" w:color="auto"/>
          </w:divBdr>
        </w:div>
      </w:divsChild>
    </w:div>
    <w:div w:id="333070368">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4621122">
      <w:bodyDiv w:val="1"/>
      <w:marLeft w:val="0"/>
      <w:marRight w:val="0"/>
      <w:marTop w:val="0"/>
      <w:marBottom w:val="0"/>
      <w:divBdr>
        <w:top w:val="none" w:sz="0" w:space="0" w:color="auto"/>
        <w:left w:val="none" w:sz="0" w:space="0" w:color="auto"/>
        <w:bottom w:val="none" w:sz="0" w:space="0" w:color="auto"/>
        <w:right w:val="none" w:sz="0" w:space="0" w:color="auto"/>
      </w:divBdr>
    </w:div>
    <w:div w:id="361054801">
      <w:bodyDiv w:val="1"/>
      <w:marLeft w:val="0"/>
      <w:marRight w:val="0"/>
      <w:marTop w:val="0"/>
      <w:marBottom w:val="0"/>
      <w:divBdr>
        <w:top w:val="none" w:sz="0" w:space="0" w:color="auto"/>
        <w:left w:val="none" w:sz="0" w:space="0" w:color="auto"/>
        <w:bottom w:val="none" w:sz="0" w:space="0" w:color="auto"/>
        <w:right w:val="none" w:sz="0" w:space="0" w:color="auto"/>
      </w:divBdr>
    </w:div>
    <w:div w:id="363139879">
      <w:bodyDiv w:val="1"/>
      <w:marLeft w:val="0"/>
      <w:marRight w:val="0"/>
      <w:marTop w:val="0"/>
      <w:marBottom w:val="0"/>
      <w:divBdr>
        <w:top w:val="none" w:sz="0" w:space="0" w:color="auto"/>
        <w:left w:val="none" w:sz="0" w:space="0" w:color="auto"/>
        <w:bottom w:val="none" w:sz="0" w:space="0" w:color="auto"/>
        <w:right w:val="none" w:sz="0" w:space="0" w:color="auto"/>
      </w:divBdr>
    </w:div>
    <w:div w:id="371074446">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79405342">
      <w:bodyDiv w:val="1"/>
      <w:marLeft w:val="0"/>
      <w:marRight w:val="0"/>
      <w:marTop w:val="0"/>
      <w:marBottom w:val="0"/>
      <w:divBdr>
        <w:top w:val="none" w:sz="0" w:space="0" w:color="auto"/>
        <w:left w:val="none" w:sz="0" w:space="0" w:color="auto"/>
        <w:bottom w:val="none" w:sz="0" w:space="0" w:color="auto"/>
        <w:right w:val="none" w:sz="0" w:space="0" w:color="auto"/>
      </w:divBdr>
    </w:div>
    <w:div w:id="381170780">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4649976">
      <w:bodyDiv w:val="1"/>
      <w:marLeft w:val="0"/>
      <w:marRight w:val="0"/>
      <w:marTop w:val="0"/>
      <w:marBottom w:val="0"/>
      <w:divBdr>
        <w:top w:val="none" w:sz="0" w:space="0" w:color="auto"/>
        <w:left w:val="none" w:sz="0" w:space="0" w:color="auto"/>
        <w:bottom w:val="none" w:sz="0" w:space="0" w:color="auto"/>
        <w:right w:val="none" w:sz="0" w:space="0" w:color="auto"/>
      </w:divBdr>
    </w:div>
    <w:div w:id="407843476">
      <w:bodyDiv w:val="1"/>
      <w:marLeft w:val="0"/>
      <w:marRight w:val="0"/>
      <w:marTop w:val="0"/>
      <w:marBottom w:val="0"/>
      <w:divBdr>
        <w:top w:val="none" w:sz="0" w:space="0" w:color="auto"/>
        <w:left w:val="none" w:sz="0" w:space="0" w:color="auto"/>
        <w:bottom w:val="none" w:sz="0" w:space="0" w:color="auto"/>
        <w:right w:val="none" w:sz="0" w:space="0" w:color="auto"/>
      </w:divBdr>
    </w:div>
    <w:div w:id="408583387">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9224308">
      <w:bodyDiv w:val="1"/>
      <w:marLeft w:val="0"/>
      <w:marRight w:val="0"/>
      <w:marTop w:val="0"/>
      <w:marBottom w:val="0"/>
      <w:divBdr>
        <w:top w:val="none" w:sz="0" w:space="0" w:color="auto"/>
        <w:left w:val="none" w:sz="0" w:space="0" w:color="auto"/>
        <w:bottom w:val="none" w:sz="0" w:space="0" w:color="auto"/>
        <w:right w:val="none" w:sz="0" w:space="0" w:color="auto"/>
      </w:divBdr>
    </w:div>
    <w:div w:id="439490290">
      <w:bodyDiv w:val="1"/>
      <w:marLeft w:val="0"/>
      <w:marRight w:val="0"/>
      <w:marTop w:val="0"/>
      <w:marBottom w:val="0"/>
      <w:divBdr>
        <w:top w:val="none" w:sz="0" w:space="0" w:color="auto"/>
        <w:left w:val="none" w:sz="0" w:space="0" w:color="auto"/>
        <w:bottom w:val="none" w:sz="0" w:space="0" w:color="auto"/>
        <w:right w:val="none" w:sz="0" w:space="0" w:color="auto"/>
      </w:divBdr>
    </w:div>
    <w:div w:id="448548155">
      <w:bodyDiv w:val="1"/>
      <w:marLeft w:val="0"/>
      <w:marRight w:val="0"/>
      <w:marTop w:val="0"/>
      <w:marBottom w:val="0"/>
      <w:divBdr>
        <w:top w:val="none" w:sz="0" w:space="0" w:color="auto"/>
        <w:left w:val="none" w:sz="0" w:space="0" w:color="auto"/>
        <w:bottom w:val="none" w:sz="0" w:space="0" w:color="auto"/>
        <w:right w:val="none" w:sz="0" w:space="0" w:color="auto"/>
      </w:divBdr>
    </w:div>
    <w:div w:id="458110885">
      <w:bodyDiv w:val="1"/>
      <w:marLeft w:val="0"/>
      <w:marRight w:val="0"/>
      <w:marTop w:val="0"/>
      <w:marBottom w:val="0"/>
      <w:divBdr>
        <w:top w:val="none" w:sz="0" w:space="0" w:color="auto"/>
        <w:left w:val="none" w:sz="0" w:space="0" w:color="auto"/>
        <w:bottom w:val="none" w:sz="0" w:space="0" w:color="auto"/>
        <w:right w:val="none" w:sz="0" w:space="0" w:color="auto"/>
      </w:divBdr>
    </w:div>
    <w:div w:id="459349429">
      <w:bodyDiv w:val="1"/>
      <w:marLeft w:val="0"/>
      <w:marRight w:val="0"/>
      <w:marTop w:val="0"/>
      <w:marBottom w:val="0"/>
      <w:divBdr>
        <w:top w:val="none" w:sz="0" w:space="0" w:color="auto"/>
        <w:left w:val="none" w:sz="0" w:space="0" w:color="auto"/>
        <w:bottom w:val="none" w:sz="0" w:space="0" w:color="auto"/>
        <w:right w:val="none" w:sz="0" w:space="0" w:color="auto"/>
      </w:divBdr>
    </w:div>
    <w:div w:id="470633327">
      <w:bodyDiv w:val="1"/>
      <w:marLeft w:val="0"/>
      <w:marRight w:val="0"/>
      <w:marTop w:val="0"/>
      <w:marBottom w:val="0"/>
      <w:divBdr>
        <w:top w:val="none" w:sz="0" w:space="0" w:color="auto"/>
        <w:left w:val="none" w:sz="0" w:space="0" w:color="auto"/>
        <w:bottom w:val="none" w:sz="0" w:space="0" w:color="auto"/>
        <w:right w:val="none" w:sz="0" w:space="0" w:color="auto"/>
      </w:divBdr>
    </w:div>
    <w:div w:id="481851963">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315083">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7906150">
      <w:bodyDiv w:val="1"/>
      <w:marLeft w:val="0"/>
      <w:marRight w:val="0"/>
      <w:marTop w:val="0"/>
      <w:marBottom w:val="0"/>
      <w:divBdr>
        <w:top w:val="none" w:sz="0" w:space="0" w:color="auto"/>
        <w:left w:val="none" w:sz="0" w:space="0" w:color="auto"/>
        <w:bottom w:val="none" w:sz="0" w:space="0" w:color="auto"/>
        <w:right w:val="none" w:sz="0" w:space="0" w:color="auto"/>
      </w:divBdr>
      <w:divsChild>
        <w:div w:id="130901031">
          <w:marLeft w:val="1267"/>
          <w:marRight w:val="0"/>
          <w:marTop w:val="180"/>
          <w:marBottom w:val="0"/>
          <w:divBdr>
            <w:top w:val="none" w:sz="0" w:space="0" w:color="auto"/>
            <w:left w:val="none" w:sz="0" w:space="0" w:color="auto"/>
            <w:bottom w:val="none" w:sz="0" w:space="0" w:color="auto"/>
            <w:right w:val="none" w:sz="0" w:space="0" w:color="auto"/>
          </w:divBdr>
        </w:div>
        <w:div w:id="383214364">
          <w:marLeft w:val="1267"/>
          <w:marRight w:val="0"/>
          <w:marTop w:val="180"/>
          <w:marBottom w:val="0"/>
          <w:divBdr>
            <w:top w:val="none" w:sz="0" w:space="0" w:color="auto"/>
            <w:left w:val="none" w:sz="0" w:space="0" w:color="auto"/>
            <w:bottom w:val="none" w:sz="0" w:space="0" w:color="auto"/>
            <w:right w:val="none" w:sz="0" w:space="0" w:color="auto"/>
          </w:divBdr>
        </w:div>
        <w:div w:id="1466776010">
          <w:marLeft w:val="1699"/>
          <w:marRight w:val="0"/>
          <w:marTop w:val="120"/>
          <w:marBottom w:val="0"/>
          <w:divBdr>
            <w:top w:val="none" w:sz="0" w:space="0" w:color="auto"/>
            <w:left w:val="none" w:sz="0" w:space="0" w:color="auto"/>
            <w:bottom w:val="none" w:sz="0" w:space="0" w:color="auto"/>
            <w:right w:val="none" w:sz="0" w:space="0" w:color="auto"/>
          </w:divBdr>
        </w:div>
      </w:divsChild>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5730736">
      <w:bodyDiv w:val="1"/>
      <w:marLeft w:val="0"/>
      <w:marRight w:val="0"/>
      <w:marTop w:val="0"/>
      <w:marBottom w:val="0"/>
      <w:divBdr>
        <w:top w:val="none" w:sz="0" w:space="0" w:color="auto"/>
        <w:left w:val="none" w:sz="0" w:space="0" w:color="auto"/>
        <w:bottom w:val="none" w:sz="0" w:space="0" w:color="auto"/>
        <w:right w:val="none" w:sz="0" w:space="0" w:color="auto"/>
      </w:divBdr>
    </w:div>
    <w:div w:id="51735533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3924652">
      <w:bodyDiv w:val="1"/>
      <w:marLeft w:val="0"/>
      <w:marRight w:val="0"/>
      <w:marTop w:val="0"/>
      <w:marBottom w:val="0"/>
      <w:divBdr>
        <w:top w:val="none" w:sz="0" w:space="0" w:color="auto"/>
        <w:left w:val="none" w:sz="0" w:space="0" w:color="auto"/>
        <w:bottom w:val="none" w:sz="0" w:space="0" w:color="auto"/>
        <w:right w:val="none" w:sz="0" w:space="0" w:color="auto"/>
      </w:divBdr>
    </w:div>
    <w:div w:id="537934573">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879378">
      <w:bodyDiv w:val="1"/>
      <w:marLeft w:val="0"/>
      <w:marRight w:val="0"/>
      <w:marTop w:val="0"/>
      <w:marBottom w:val="0"/>
      <w:divBdr>
        <w:top w:val="none" w:sz="0" w:space="0" w:color="auto"/>
        <w:left w:val="none" w:sz="0" w:space="0" w:color="auto"/>
        <w:bottom w:val="none" w:sz="0" w:space="0" w:color="auto"/>
        <w:right w:val="none" w:sz="0" w:space="0" w:color="auto"/>
      </w:divBdr>
    </w:div>
    <w:div w:id="553153747">
      <w:bodyDiv w:val="1"/>
      <w:marLeft w:val="0"/>
      <w:marRight w:val="0"/>
      <w:marTop w:val="0"/>
      <w:marBottom w:val="0"/>
      <w:divBdr>
        <w:top w:val="none" w:sz="0" w:space="0" w:color="auto"/>
        <w:left w:val="none" w:sz="0" w:space="0" w:color="auto"/>
        <w:bottom w:val="none" w:sz="0" w:space="0" w:color="auto"/>
        <w:right w:val="none" w:sz="0" w:space="0" w:color="auto"/>
      </w:divBdr>
    </w:div>
    <w:div w:id="565846509">
      <w:bodyDiv w:val="1"/>
      <w:marLeft w:val="0"/>
      <w:marRight w:val="0"/>
      <w:marTop w:val="0"/>
      <w:marBottom w:val="0"/>
      <w:divBdr>
        <w:top w:val="none" w:sz="0" w:space="0" w:color="auto"/>
        <w:left w:val="none" w:sz="0" w:space="0" w:color="auto"/>
        <w:bottom w:val="none" w:sz="0" w:space="0" w:color="auto"/>
        <w:right w:val="none" w:sz="0" w:space="0" w:color="auto"/>
      </w:divBdr>
    </w:div>
    <w:div w:id="570850397">
      <w:bodyDiv w:val="1"/>
      <w:marLeft w:val="0"/>
      <w:marRight w:val="0"/>
      <w:marTop w:val="0"/>
      <w:marBottom w:val="0"/>
      <w:divBdr>
        <w:top w:val="none" w:sz="0" w:space="0" w:color="auto"/>
        <w:left w:val="none" w:sz="0" w:space="0" w:color="auto"/>
        <w:bottom w:val="none" w:sz="0" w:space="0" w:color="auto"/>
        <w:right w:val="none" w:sz="0" w:space="0" w:color="auto"/>
      </w:divBdr>
    </w:div>
    <w:div w:id="583689713">
      <w:bodyDiv w:val="1"/>
      <w:marLeft w:val="0"/>
      <w:marRight w:val="0"/>
      <w:marTop w:val="0"/>
      <w:marBottom w:val="0"/>
      <w:divBdr>
        <w:top w:val="none" w:sz="0" w:space="0" w:color="auto"/>
        <w:left w:val="none" w:sz="0" w:space="0" w:color="auto"/>
        <w:bottom w:val="none" w:sz="0" w:space="0" w:color="auto"/>
        <w:right w:val="none" w:sz="0" w:space="0" w:color="auto"/>
      </w:divBdr>
    </w:div>
    <w:div w:id="585727876">
      <w:bodyDiv w:val="1"/>
      <w:marLeft w:val="0"/>
      <w:marRight w:val="0"/>
      <w:marTop w:val="0"/>
      <w:marBottom w:val="0"/>
      <w:divBdr>
        <w:top w:val="none" w:sz="0" w:space="0" w:color="auto"/>
        <w:left w:val="none" w:sz="0" w:space="0" w:color="auto"/>
        <w:bottom w:val="none" w:sz="0" w:space="0" w:color="auto"/>
        <w:right w:val="none" w:sz="0" w:space="0" w:color="auto"/>
      </w:divBdr>
    </w:div>
    <w:div w:id="585842171">
      <w:bodyDiv w:val="1"/>
      <w:marLeft w:val="0"/>
      <w:marRight w:val="0"/>
      <w:marTop w:val="0"/>
      <w:marBottom w:val="0"/>
      <w:divBdr>
        <w:top w:val="none" w:sz="0" w:space="0" w:color="auto"/>
        <w:left w:val="none" w:sz="0" w:space="0" w:color="auto"/>
        <w:bottom w:val="none" w:sz="0" w:space="0" w:color="auto"/>
        <w:right w:val="none" w:sz="0" w:space="0" w:color="auto"/>
      </w:divBdr>
      <w:divsChild>
        <w:div w:id="2024629606">
          <w:marLeft w:val="446"/>
          <w:marRight w:val="0"/>
          <w:marTop w:val="0"/>
          <w:marBottom w:val="0"/>
          <w:divBdr>
            <w:top w:val="none" w:sz="0" w:space="0" w:color="auto"/>
            <w:left w:val="none" w:sz="0" w:space="0" w:color="auto"/>
            <w:bottom w:val="none" w:sz="0" w:space="0" w:color="auto"/>
            <w:right w:val="none" w:sz="0" w:space="0" w:color="auto"/>
          </w:divBdr>
        </w:div>
      </w:divsChild>
    </w:div>
    <w:div w:id="607004023">
      <w:bodyDiv w:val="1"/>
      <w:marLeft w:val="0"/>
      <w:marRight w:val="0"/>
      <w:marTop w:val="0"/>
      <w:marBottom w:val="0"/>
      <w:divBdr>
        <w:top w:val="none" w:sz="0" w:space="0" w:color="auto"/>
        <w:left w:val="none" w:sz="0" w:space="0" w:color="auto"/>
        <w:bottom w:val="none" w:sz="0" w:space="0" w:color="auto"/>
        <w:right w:val="none" w:sz="0" w:space="0" w:color="auto"/>
      </w:divBdr>
    </w:div>
    <w:div w:id="63984404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8094555">
      <w:bodyDiv w:val="1"/>
      <w:marLeft w:val="0"/>
      <w:marRight w:val="0"/>
      <w:marTop w:val="0"/>
      <w:marBottom w:val="0"/>
      <w:divBdr>
        <w:top w:val="none" w:sz="0" w:space="0" w:color="auto"/>
        <w:left w:val="none" w:sz="0" w:space="0" w:color="auto"/>
        <w:bottom w:val="none" w:sz="0" w:space="0" w:color="auto"/>
        <w:right w:val="none" w:sz="0" w:space="0" w:color="auto"/>
      </w:divBdr>
    </w:div>
    <w:div w:id="658387460">
      <w:bodyDiv w:val="1"/>
      <w:marLeft w:val="0"/>
      <w:marRight w:val="0"/>
      <w:marTop w:val="0"/>
      <w:marBottom w:val="0"/>
      <w:divBdr>
        <w:top w:val="none" w:sz="0" w:space="0" w:color="auto"/>
        <w:left w:val="none" w:sz="0" w:space="0" w:color="auto"/>
        <w:bottom w:val="none" w:sz="0" w:space="0" w:color="auto"/>
        <w:right w:val="none" w:sz="0" w:space="0" w:color="auto"/>
      </w:divBdr>
    </w:div>
    <w:div w:id="662051415">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68800623">
      <w:bodyDiv w:val="1"/>
      <w:marLeft w:val="0"/>
      <w:marRight w:val="0"/>
      <w:marTop w:val="0"/>
      <w:marBottom w:val="0"/>
      <w:divBdr>
        <w:top w:val="none" w:sz="0" w:space="0" w:color="auto"/>
        <w:left w:val="none" w:sz="0" w:space="0" w:color="auto"/>
        <w:bottom w:val="none" w:sz="0" w:space="0" w:color="auto"/>
        <w:right w:val="none" w:sz="0" w:space="0" w:color="auto"/>
      </w:divBdr>
    </w:div>
    <w:div w:id="67006529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2820265">
      <w:bodyDiv w:val="1"/>
      <w:marLeft w:val="0"/>
      <w:marRight w:val="0"/>
      <w:marTop w:val="0"/>
      <w:marBottom w:val="0"/>
      <w:divBdr>
        <w:top w:val="none" w:sz="0" w:space="0" w:color="auto"/>
        <w:left w:val="none" w:sz="0" w:space="0" w:color="auto"/>
        <w:bottom w:val="none" w:sz="0" w:space="0" w:color="auto"/>
        <w:right w:val="none" w:sz="0" w:space="0" w:color="auto"/>
      </w:divBdr>
    </w:div>
    <w:div w:id="684017754">
      <w:bodyDiv w:val="1"/>
      <w:marLeft w:val="0"/>
      <w:marRight w:val="0"/>
      <w:marTop w:val="0"/>
      <w:marBottom w:val="0"/>
      <w:divBdr>
        <w:top w:val="none" w:sz="0" w:space="0" w:color="auto"/>
        <w:left w:val="none" w:sz="0" w:space="0" w:color="auto"/>
        <w:bottom w:val="none" w:sz="0" w:space="0" w:color="auto"/>
        <w:right w:val="none" w:sz="0" w:space="0" w:color="auto"/>
      </w:divBdr>
      <w:divsChild>
        <w:div w:id="937446800">
          <w:marLeft w:val="1267"/>
          <w:marRight w:val="0"/>
          <w:marTop w:val="180"/>
          <w:marBottom w:val="0"/>
          <w:divBdr>
            <w:top w:val="none" w:sz="0" w:space="0" w:color="auto"/>
            <w:left w:val="none" w:sz="0" w:space="0" w:color="auto"/>
            <w:bottom w:val="none" w:sz="0" w:space="0" w:color="auto"/>
            <w:right w:val="none" w:sz="0" w:space="0" w:color="auto"/>
          </w:divBdr>
        </w:div>
      </w:divsChild>
    </w:div>
    <w:div w:id="688802662">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1689477">
      <w:bodyDiv w:val="1"/>
      <w:marLeft w:val="0"/>
      <w:marRight w:val="0"/>
      <w:marTop w:val="0"/>
      <w:marBottom w:val="0"/>
      <w:divBdr>
        <w:top w:val="none" w:sz="0" w:space="0" w:color="auto"/>
        <w:left w:val="none" w:sz="0" w:space="0" w:color="auto"/>
        <w:bottom w:val="none" w:sz="0" w:space="0" w:color="auto"/>
        <w:right w:val="none" w:sz="0" w:space="0" w:color="auto"/>
      </w:divBdr>
    </w:div>
    <w:div w:id="703291879">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25493685">
      <w:bodyDiv w:val="1"/>
      <w:marLeft w:val="0"/>
      <w:marRight w:val="0"/>
      <w:marTop w:val="0"/>
      <w:marBottom w:val="0"/>
      <w:divBdr>
        <w:top w:val="none" w:sz="0" w:space="0" w:color="auto"/>
        <w:left w:val="none" w:sz="0" w:space="0" w:color="auto"/>
        <w:bottom w:val="none" w:sz="0" w:space="0" w:color="auto"/>
        <w:right w:val="none" w:sz="0" w:space="0" w:color="auto"/>
      </w:divBdr>
    </w:div>
    <w:div w:id="72969341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3159168">
      <w:bodyDiv w:val="1"/>
      <w:marLeft w:val="0"/>
      <w:marRight w:val="0"/>
      <w:marTop w:val="0"/>
      <w:marBottom w:val="0"/>
      <w:divBdr>
        <w:top w:val="none" w:sz="0" w:space="0" w:color="auto"/>
        <w:left w:val="none" w:sz="0" w:space="0" w:color="auto"/>
        <w:bottom w:val="none" w:sz="0" w:space="0" w:color="auto"/>
        <w:right w:val="none" w:sz="0" w:space="0" w:color="auto"/>
      </w:divBdr>
    </w:div>
    <w:div w:id="734088480">
      <w:bodyDiv w:val="1"/>
      <w:marLeft w:val="0"/>
      <w:marRight w:val="0"/>
      <w:marTop w:val="0"/>
      <w:marBottom w:val="0"/>
      <w:divBdr>
        <w:top w:val="none" w:sz="0" w:space="0" w:color="auto"/>
        <w:left w:val="none" w:sz="0" w:space="0" w:color="auto"/>
        <w:bottom w:val="none" w:sz="0" w:space="0" w:color="auto"/>
        <w:right w:val="none" w:sz="0" w:space="0" w:color="auto"/>
      </w:divBdr>
    </w:div>
    <w:div w:id="736170089">
      <w:bodyDiv w:val="1"/>
      <w:marLeft w:val="0"/>
      <w:marRight w:val="0"/>
      <w:marTop w:val="0"/>
      <w:marBottom w:val="0"/>
      <w:divBdr>
        <w:top w:val="none" w:sz="0" w:space="0" w:color="auto"/>
        <w:left w:val="none" w:sz="0" w:space="0" w:color="auto"/>
        <w:bottom w:val="none" w:sz="0" w:space="0" w:color="auto"/>
        <w:right w:val="none" w:sz="0" w:space="0" w:color="auto"/>
      </w:divBdr>
    </w:div>
    <w:div w:id="743256693">
      <w:bodyDiv w:val="1"/>
      <w:marLeft w:val="0"/>
      <w:marRight w:val="0"/>
      <w:marTop w:val="0"/>
      <w:marBottom w:val="0"/>
      <w:divBdr>
        <w:top w:val="none" w:sz="0" w:space="0" w:color="auto"/>
        <w:left w:val="none" w:sz="0" w:space="0" w:color="auto"/>
        <w:bottom w:val="none" w:sz="0" w:space="0" w:color="auto"/>
        <w:right w:val="none" w:sz="0" w:space="0" w:color="auto"/>
      </w:divBdr>
    </w:div>
    <w:div w:id="746614713">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56053651">
      <w:bodyDiv w:val="1"/>
      <w:marLeft w:val="0"/>
      <w:marRight w:val="0"/>
      <w:marTop w:val="0"/>
      <w:marBottom w:val="0"/>
      <w:divBdr>
        <w:top w:val="none" w:sz="0" w:space="0" w:color="auto"/>
        <w:left w:val="none" w:sz="0" w:space="0" w:color="auto"/>
        <w:bottom w:val="none" w:sz="0" w:space="0" w:color="auto"/>
        <w:right w:val="none" w:sz="0" w:space="0" w:color="auto"/>
      </w:divBdr>
    </w:div>
    <w:div w:id="779302562">
      <w:bodyDiv w:val="1"/>
      <w:marLeft w:val="0"/>
      <w:marRight w:val="0"/>
      <w:marTop w:val="0"/>
      <w:marBottom w:val="0"/>
      <w:divBdr>
        <w:top w:val="none" w:sz="0" w:space="0" w:color="auto"/>
        <w:left w:val="none" w:sz="0" w:space="0" w:color="auto"/>
        <w:bottom w:val="none" w:sz="0" w:space="0" w:color="auto"/>
        <w:right w:val="none" w:sz="0" w:space="0" w:color="auto"/>
      </w:divBdr>
      <w:divsChild>
        <w:div w:id="568004103">
          <w:marLeft w:val="806"/>
          <w:marRight w:val="0"/>
          <w:marTop w:val="0"/>
          <w:marBottom w:val="120"/>
          <w:divBdr>
            <w:top w:val="none" w:sz="0" w:space="0" w:color="auto"/>
            <w:left w:val="none" w:sz="0" w:space="0" w:color="auto"/>
            <w:bottom w:val="none" w:sz="0" w:space="0" w:color="auto"/>
            <w:right w:val="none" w:sz="0" w:space="0" w:color="auto"/>
          </w:divBdr>
        </w:div>
        <w:div w:id="746684049">
          <w:marLeft w:val="806"/>
          <w:marRight w:val="0"/>
          <w:marTop w:val="0"/>
          <w:marBottom w:val="120"/>
          <w:divBdr>
            <w:top w:val="none" w:sz="0" w:space="0" w:color="auto"/>
            <w:left w:val="none" w:sz="0" w:space="0" w:color="auto"/>
            <w:bottom w:val="none" w:sz="0" w:space="0" w:color="auto"/>
            <w:right w:val="none" w:sz="0" w:space="0" w:color="auto"/>
          </w:divBdr>
        </w:div>
        <w:div w:id="1160196849">
          <w:marLeft w:val="806"/>
          <w:marRight w:val="0"/>
          <w:marTop w:val="0"/>
          <w:marBottom w:val="120"/>
          <w:divBdr>
            <w:top w:val="none" w:sz="0" w:space="0" w:color="auto"/>
            <w:left w:val="none" w:sz="0" w:space="0" w:color="auto"/>
            <w:bottom w:val="none" w:sz="0" w:space="0" w:color="auto"/>
            <w:right w:val="none" w:sz="0" w:space="0" w:color="auto"/>
          </w:divBdr>
        </w:div>
        <w:div w:id="1714839707">
          <w:marLeft w:val="446"/>
          <w:marRight w:val="0"/>
          <w:marTop w:val="0"/>
          <w:marBottom w:val="120"/>
          <w:divBdr>
            <w:top w:val="none" w:sz="0" w:space="0" w:color="auto"/>
            <w:left w:val="none" w:sz="0" w:space="0" w:color="auto"/>
            <w:bottom w:val="none" w:sz="0" w:space="0" w:color="auto"/>
            <w:right w:val="none" w:sz="0" w:space="0" w:color="auto"/>
          </w:divBdr>
        </w:div>
        <w:div w:id="1721173998">
          <w:marLeft w:val="907"/>
          <w:marRight w:val="0"/>
          <w:marTop w:val="0"/>
          <w:marBottom w:val="120"/>
          <w:divBdr>
            <w:top w:val="none" w:sz="0" w:space="0" w:color="auto"/>
            <w:left w:val="none" w:sz="0" w:space="0" w:color="auto"/>
            <w:bottom w:val="none" w:sz="0" w:space="0" w:color="auto"/>
            <w:right w:val="none" w:sz="0" w:space="0" w:color="auto"/>
          </w:divBdr>
        </w:div>
      </w:divsChild>
    </w:div>
    <w:div w:id="779686558">
      <w:bodyDiv w:val="1"/>
      <w:marLeft w:val="0"/>
      <w:marRight w:val="0"/>
      <w:marTop w:val="0"/>
      <w:marBottom w:val="0"/>
      <w:divBdr>
        <w:top w:val="none" w:sz="0" w:space="0" w:color="auto"/>
        <w:left w:val="none" w:sz="0" w:space="0" w:color="auto"/>
        <w:bottom w:val="none" w:sz="0" w:space="0" w:color="auto"/>
        <w:right w:val="none" w:sz="0" w:space="0" w:color="auto"/>
      </w:divBdr>
      <w:divsChild>
        <w:div w:id="1799950314">
          <w:marLeft w:val="288"/>
          <w:marRight w:val="0"/>
          <w:marTop w:val="0"/>
          <w:marBottom w:val="0"/>
          <w:divBdr>
            <w:top w:val="none" w:sz="0" w:space="0" w:color="auto"/>
            <w:left w:val="none" w:sz="0" w:space="0" w:color="auto"/>
            <w:bottom w:val="none" w:sz="0" w:space="0" w:color="auto"/>
            <w:right w:val="none" w:sz="0" w:space="0" w:color="auto"/>
          </w:divBdr>
        </w:div>
        <w:div w:id="1990205273">
          <w:marLeft w:val="288"/>
          <w:marRight w:val="0"/>
          <w:marTop w:val="0"/>
          <w:marBottom w:val="0"/>
          <w:divBdr>
            <w:top w:val="none" w:sz="0" w:space="0" w:color="auto"/>
            <w:left w:val="none" w:sz="0" w:space="0" w:color="auto"/>
            <w:bottom w:val="none" w:sz="0" w:space="0" w:color="auto"/>
            <w:right w:val="none" w:sz="0" w:space="0" w:color="auto"/>
          </w:divBdr>
        </w:div>
      </w:divsChild>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793407247">
      <w:bodyDiv w:val="1"/>
      <w:marLeft w:val="0"/>
      <w:marRight w:val="0"/>
      <w:marTop w:val="0"/>
      <w:marBottom w:val="0"/>
      <w:divBdr>
        <w:top w:val="none" w:sz="0" w:space="0" w:color="auto"/>
        <w:left w:val="none" w:sz="0" w:space="0" w:color="auto"/>
        <w:bottom w:val="none" w:sz="0" w:space="0" w:color="auto"/>
        <w:right w:val="none" w:sz="0" w:space="0" w:color="auto"/>
      </w:divBdr>
      <w:divsChild>
        <w:div w:id="200285628">
          <w:marLeft w:val="0"/>
          <w:marRight w:val="0"/>
          <w:marTop w:val="0"/>
          <w:marBottom w:val="0"/>
          <w:divBdr>
            <w:top w:val="none" w:sz="0" w:space="0" w:color="auto"/>
            <w:left w:val="none" w:sz="0" w:space="0" w:color="auto"/>
            <w:bottom w:val="none" w:sz="0" w:space="0" w:color="auto"/>
            <w:right w:val="none" w:sz="0" w:space="0" w:color="auto"/>
          </w:divBdr>
        </w:div>
        <w:div w:id="883445400">
          <w:marLeft w:val="0"/>
          <w:marRight w:val="0"/>
          <w:marTop w:val="0"/>
          <w:marBottom w:val="0"/>
          <w:divBdr>
            <w:top w:val="none" w:sz="0" w:space="0" w:color="auto"/>
            <w:left w:val="none" w:sz="0" w:space="0" w:color="auto"/>
            <w:bottom w:val="none" w:sz="0" w:space="0" w:color="auto"/>
            <w:right w:val="none" w:sz="0" w:space="0" w:color="auto"/>
          </w:divBdr>
        </w:div>
        <w:div w:id="1738435745">
          <w:marLeft w:val="0"/>
          <w:marRight w:val="0"/>
          <w:marTop w:val="0"/>
          <w:marBottom w:val="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7960516">
      <w:bodyDiv w:val="1"/>
      <w:marLeft w:val="0"/>
      <w:marRight w:val="0"/>
      <w:marTop w:val="0"/>
      <w:marBottom w:val="0"/>
      <w:divBdr>
        <w:top w:val="none" w:sz="0" w:space="0" w:color="auto"/>
        <w:left w:val="none" w:sz="0" w:space="0" w:color="auto"/>
        <w:bottom w:val="none" w:sz="0" w:space="0" w:color="auto"/>
        <w:right w:val="none" w:sz="0" w:space="0" w:color="auto"/>
      </w:divBdr>
    </w:div>
    <w:div w:id="849102235">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069222">
      <w:bodyDiv w:val="1"/>
      <w:marLeft w:val="0"/>
      <w:marRight w:val="0"/>
      <w:marTop w:val="0"/>
      <w:marBottom w:val="0"/>
      <w:divBdr>
        <w:top w:val="none" w:sz="0" w:space="0" w:color="auto"/>
        <w:left w:val="none" w:sz="0" w:space="0" w:color="auto"/>
        <w:bottom w:val="none" w:sz="0" w:space="0" w:color="auto"/>
        <w:right w:val="none" w:sz="0" w:space="0" w:color="auto"/>
      </w:divBdr>
    </w:div>
    <w:div w:id="853960686">
      <w:bodyDiv w:val="1"/>
      <w:marLeft w:val="0"/>
      <w:marRight w:val="0"/>
      <w:marTop w:val="0"/>
      <w:marBottom w:val="0"/>
      <w:divBdr>
        <w:top w:val="none" w:sz="0" w:space="0" w:color="auto"/>
        <w:left w:val="none" w:sz="0" w:space="0" w:color="auto"/>
        <w:bottom w:val="none" w:sz="0" w:space="0" w:color="auto"/>
        <w:right w:val="none" w:sz="0" w:space="0" w:color="auto"/>
      </w:divBdr>
    </w:div>
    <w:div w:id="867185953">
      <w:bodyDiv w:val="1"/>
      <w:marLeft w:val="0"/>
      <w:marRight w:val="0"/>
      <w:marTop w:val="0"/>
      <w:marBottom w:val="0"/>
      <w:divBdr>
        <w:top w:val="none" w:sz="0" w:space="0" w:color="auto"/>
        <w:left w:val="none" w:sz="0" w:space="0" w:color="auto"/>
        <w:bottom w:val="none" w:sz="0" w:space="0" w:color="auto"/>
        <w:right w:val="none" w:sz="0" w:space="0" w:color="auto"/>
      </w:divBdr>
    </w:div>
    <w:div w:id="868029608">
      <w:bodyDiv w:val="1"/>
      <w:marLeft w:val="0"/>
      <w:marRight w:val="0"/>
      <w:marTop w:val="0"/>
      <w:marBottom w:val="0"/>
      <w:divBdr>
        <w:top w:val="none" w:sz="0" w:space="0" w:color="auto"/>
        <w:left w:val="none" w:sz="0" w:space="0" w:color="auto"/>
        <w:bottom w:val="none" w:sz="0" w:space="0" w:color="auto"/>
        <w:right w:val="none" w:sz="0" w:space="0" w:color="auto"/>
      </w:divBdr>
    </w:div>
    <w:div w:id="873495253">
      <w:bodyDiv w:val="1"/>
      <w:marLeft w:val="0"/>
      <w:marRight w:val="0"/>
      <w:marTop w:val="0"/>
      <w:marBottom w:val="0"/>
      <w:divBdr>
        <w:top w:val="none" w:sz="0" w:space="0" w:color="auto"/>
        <w:left w:val="none" w:sz="0" w:space="0" w:color="auto"/>
        <w:bottom w:val="none" w:sz="0" w:space="0" w:color="auto"/>
        <w:right w:val="none" w:sz="0" w:space="0" w:color="auto"/>
      </w:divBdr>
    </w:div>
    <w:div w:id="88309879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1967435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8508692">
      <w:bodyDiv w:val="1"/>
      <w:marLeft w:val="0"/>
      <w:marRight w:val="0"/>
      <w:marTop w:val="0"/>
      <w:marBottom w:val="0"/>
      <w:divBdr>
        <w:top w:val="none" w:sz="0" w:space="0" w:color="auto"/>
        <w:left w:val="none" w:sz="0" w:space="0" w:color="auto"/>
        <w:bottom w:val="none" w:sz="0" w:space="0" w:color="auto"/>
        <w:right w:val="none" w:sz="0" w:space="0" w:color="auto"/>
      </w:divBdr>
    </w:div>
    <w:div w:id="948658123">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6447297">
      <w:bodyDiv w:val="1"/>
      <w:marLeft w:val="0"/>
      <w:marRight w:val="0"/>
      <w:marTop w:val="0"/>
      <w:marBottom w:val="0"/>
      <w:divBdr>
        <w:top w:val="none" w:sz="0" w:space="0" w:color="auto"/>
        <w:left w:val="none" w:sz="0" w:space="0" w:color="auto"/>
        <w:bottom w:val="none" w:sz="0" w:space="0" w:color="auto"/>
        <w:right w:val="none" w:sz="0" w:space="0" w:color="auto"/>
      </w:divBdr>
    </w:div>
    <w:div w:id="961183449">
      <w:bodyDiv w:val="1"/>
      <w:marLeft w:val="0"/>
      <w:marRight w:val="0"/>
      <w:marTop w:val="0"/>
      <w:marBottom w:val="0"/>
      <w:divBdr>
        <w:top w:val="none" w:sz="0" w:space="0" w:color="auto"/>
        <w:left w:val="none" w:sz="0" w:space="0" w:color="auto"/>
        <w:bottom w:val="none" w:sz="0" w:space="0" w:color="auto"/>
        <w:right w:val="none" w:sz="0" w:space="0" w:color="auto"/>
      </w:divBdr>
    </w:div>
    <w:div w:id="972252086">
      <w:bodyDiv w:val="1"/>
      <w:marLeft w:val="0"/>
      <w:marRight w:val="0"/>
      <w:marTop w:val="0"/>
      <w:marBottom w:val="0"/>
      <w:divBdr>
        <w:top w:val="none" w:sz="0" w:space="0" w:color="auto"/>
        <w:left w:val="none" w:sz="0" w:space="0" w:color="auto"/>
        <w:bottom w:val="none" w:sz="0" w:space="0" w:color="auto"/>
        <w:right w:val="none" w:sz="0" w:space="0" w:color="auto"/>
      </w:divBdr>
    </w:div>
    <w:div w:id="974873446">
      <w:bodyDiv w:val="1"/>
      <w:marLeft w:val="0"/>
      <w:marRight w:val="0"/>
      <w:marTop w:val="0"/>
      <w:marBottom w:val="0"/>
      <w:divBdr>
        <w:top w:val="none" w:sz="0" w:space="0" w:color="auto"/>
        <w:left w:val="none" w:sz="0" w:space="0" w:color="auto"/>
        <w:bottom w:val="none" w:sz="0" w:space="0" w:color="auto"/>
        <w:right w:val="none" w:sz="0" w:space="0" w:color="auto"/>
      </w:divBdr>
      <w:divsChild>
        <w:div w:id="1709184897">
          <w:marLeft w:val="432"/>
          <w:marRight w:val="0"/>
          <w:marTop w:val="120"/>
          <w:marBottom w:val="0"/>
          <w:divBdr>
            <w:top w:val="none" w:sz="0" w:space="0" w:color="auto"/>
            <w:left w:val="none" w:sz="0" w:space="0" w:color="auto"/>
            <w:bottom w:val="none" w:sz="0" w:space="0" w:color="auto"/>
            <w:right w:val="none" w:sz="0" w:space="0" w:color="auto"/>
          </w:divBdr>
        </w:div>
        <w:div w:id="1836607737">
          <w:marLeft w:val="432"/>
          <w:marRight w:val="0"/>
          <w:marTop w:val="120"/>
          <w:marBottom w:val="0"/>
          <w:divBdr>
            <w:top w:val="none" w:sz="0" w:space="0" w:color="auto"/>
            <w:left w:val="none" w:sz="0" w:space="0" w:color="auto"/>
            <w:bottom w:val="none" w:sz="0" w:space="0" w:color="auto"/>
            <w:right w:val="none" w:sz="0" w:space="0" w:color="auto"/>
          </w:divBdr>
        </w:div>
      </w:divsChild>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657805">
      <w:bodyDiv w:val="1"/>
      <w:marLeft w:val="0"/>
      <w:marRight w:val="0"/>
      <w:marTop w:val="0"/>
      <w:marBottom w:val="0"/>
      <w:divBdr>
        <w:top w:val="none" w:sz="0" w:space="0" w:color="auto"/>
        <w:left w:val="none" w:sz="0" w:space="0" w:color="auto"/>
        <w:bottom w:val="none" w:sz="0" w:space="0" w:color="auto"/>
        <w:right w:val="none" w:sz="0" w:space="0" w:color="auto"/>
      </w:divBdr>
    </w:div>
    <w:div w:id="989286051">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999625683">
      <w:bodyDiv w:val="1"/>
      <w:marLeft w:val="0"/>
      <w:marRight w:val="0"/>
      <w:marTop w:val="0"/>
      <w:marBottom w:val="0"/>
      <w:divBdr>
        <w:top w:val="none" w:sz="0" w:space="0" w:color="auto"/>
        <w:left w:val="none" w:sz="0" w:space="0" w:color="auto"/>
        <w:bottom w:val="none" w:sz="0" w:space="0" w:color="auto"/>
        <w:right w:val="none" w:sz="0" w:space="0" w:color="auto"/>
      </w:divBdr>
    </w:div>
    <w:div w:id="1025982120">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3269935">
      <w:bodyDiv w:val="1"/>
      <w:marLeft w:val="0"/>
      <w:marRight w:val="0"/>
      <w:marTop w:val="0"/>
      <w:marBottom w:val="0"/>
      <w:divBdr>
        <w:top w:val="none" w:sz="0" w:space="0" w:color="auto"/>
        <w:left w:val="none" w:sz="0" w:space="0" w:color="auto"/>
        <w:bottom w:val="none" w:sz="0" w:space="0" w:color="auto"/>
        <w:right w:val="none" w:sz="0" w:space="0" w:color="auto"/>
      </w:divBdr>
    </w:div>
    <w:div w:id="1036124647">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42906743">
      <w:bodyDiv w:val="1"/>
      <w:marLeft w:val="0"/>
      <w:marRight w:val="0"/>
      <w:marTop w:val="0"/>
      <w:marBottom w:val="0"/>
      <w:divBdr>
        <w:top w:val="none" w:sz="0" w:space="0" w:color="auto"/>
        <w:left w:val="none" w:sz="0" w:space="0" w:color="auto"/>
        <w:bottom w:val="none" w:sz="0" w:space="0" w:color="auto"/>
        <w:right w:val="none" w:sz="0" w:space="0" w:color="auto"/>
      </w:divBdr>
    </w:div>
    <w:div w:id="1044254542">
      <w:bodyDiv w:val="1"/>
      <w:marLeft w:val="0"/>
      <w:marRight w:val="0"/>
      <w:marTop w:val="0"/>
      <w:marBottom w:val="0"/>
      <w:divBdr>
        <w:top w:val="none" w:sz="0" w:space="0" w:color="auto"/>
        <w:left w:val="none" w:sz="0" w:space="0" w:color="auto"/>
        <w:bottom w:val="none" w:sz="0" w:space="0" w:color="auto"/>
        <w:right w:val="none" w:sz="0" w:space="0" w:color="auto"/>
      </w:divBdr>
    </w:div>
    <w:div w:id="1045713483">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2404820">
      <w:bodyDiv w:val="1"/>
      <w:marLeft w:val="0"/>
      <w:marRight w:val="0"/>
      <w:marTop w:val="0"/>
      <w:marBottom w:val="0"/>
      <w:divBdr>
        <w:top w:val="none" w:sz="0" w:space="0" w:color="auto"/>
        <w:left w:val="none" w:sz="0" w:space="0" w:color="auto"/>
        <w:bottom w:val="none" w:sz="0" w:space="0" w:color="auto"/>
        <w:right w:val="none" w:sz="0" w:space="0" w:color="auto"/>
      </w:divBdr>
    </w:div>
    <w:div w:id="1062756146">
      <w:bodyDiv w:val="1"/>
      <w:marLeft w:val="0"/>
      <w:marRight w:val="0"/>
      <w:marTop w:val="0"/>
      <w:marBottom w:val="0"/>
      <w:divBdr>
        <w:top w:val="none" w:sz="0" w:space="0" w:color="auto"/>
        <w:left w:val="none" w:sz="0" w:space="0" w:color="auto"/>
        <w:bottom w:val="none" w:sz="0" w:space="0" w:color="auto"/>
        <w:right w:val="none" w:sz="0" w:space="0" w:color="auto"/>
      </w:divBdr>
    </w:div>
    <w:div w:id="1065372791">
      <w:bodyDiv w:val="1"/>
      <w:marLeft w:val="0"/>
      <w:marRight w:val="0"/>
      <w:marTop w:val="0"/>
      <w:marBottom w:val="0"/>
      <w:divBdr>
        <w:top w:val="none" w:sz="0" w:space="0" w:color="auto"/>
        <w:left w:val="none" w:sz="0" w:space="0" w:color="auto"/>
        <w:bottom w:val="none" w:sz="0" w:space="0" w:color="auto"/>
        <w:right w:val="none" w:sz="0" w:space="0" w:color="auto"/>
      </w:divBdr>
    </w:div>
    <w:div w:id="1072770958">
      <w:bodyDiv w:val="1"/>
      <w:marLeft w:val="0"/>
      <w:marRight w:val="0"/>
      <w:marTop w:val="0"/>
      <w:marBottom w:val="0"/>
      <w:divBdr>
        <w:top w:val="none" w:sz="0" w:space="0" w:color="auto"/>
        <w:left w:val="none" w:sz="0" w:space="0" w:color="auto"/>
        <w:bottom w:val="none" w:sz="0" w:space="0" w:color="auto"/>
        <w:right w:val="none" w:sz="0" w:space="0" w:color="auto"/>
      </w:divBdr>
    </w:div>
    <w:div w:id="1084453220">
      <w:bodyDiv w:val="1"/>
      <w:marLeft w:val="0"/>
      <w:marRight w:val="0"/>
      <w:marTop w:val="0"/>
      <w:marBottom w:val="0"/>
      <w:divBdr>
        <w:top w:val="none" w:sz="0" w:space="0" w:color="auto"/>
        <w:left w:val="none" w:sz="0" w:space="0" w:color="auto"/>
        <w:bottom w:val="none" w:sz="0" w:space="0" w:color="auto"/>
        <w:right w:val="none" w:sz="0" w:space="0" w:color="auto"/>
      </w:divBdr>
    </w:div>
    <w:div w:id="1087458409">
      <w:bodyDiv w:val="1"/>
      <w:marLeft w:val="0"/>
      <w:marRight w:val="0"/>
      <w:marTop w:val="0"/>
      <w:marBottom w:val="0"/>
      <w:divBdr>
        <w:top w:val="none" w:sz="0" w:space="0" w:color="auto"/>
        <w:left w:val="none" w:sz="0" w:space="0" w:color="auto"/>
        <w:bottom w:val="none" w:sz="0" w:space="0" w:color="auto"/>
        <w:right w:val="none" w:sz="0" w:space="0" w:color="auto"/>
      </w:divBdr>
    </w:div>
    <w:div w:id="1088383072">
      <w:bodyDiv w:val="1"/>
      <w:marLeft w:val="0"/>
      <w:marRight w:val="0"/>
      <w:marTop w:val="0"/>
      <w:marBottom w:val="0"/>
      <w:divBdr>
        <w:top w:val="none" w:sz="0" w:space="0" w:color="auto"/>
        <w:left w:val="none" w:sz="0" w:space="0" w:color="auto"/>
        <w:bottom w:val="none" w:sz="0" w:space="0" w:color="auto"/>
        <w:right w:val="none" w:sz="0" w:space="0" w:color="auto"/>
      </w:divBdr>
    </w:div>
    <w:div w:id="1125779152">
      <w:bodyDiv w:val="1"/>
      <w:marLeft w:val="0"/>
      <w:marRight w:val="0"/>
      <w:marTop w:val="0"/>
      <w:marBottom w:val="0"/>
      <w:divBdr>
        <w:top w:val="none" w:sz="0" w:space="0" w:color="auto"/>
        <w:left w:val="none" w:sz="0" w:space="0" w:color="auto"/>
        <w:bottom w:val="none" w:sz="0" w:space="0" w:color="auto"/>
        <w:right w:val="none" w:sz="0" w:space="0" w:color="auto"/>
      </w:divBdr>
    </w:div>
    <w:div w:id="1136802353">
      <w:bodyDiv w:val="1"/>
      <w:marLeft w:val="0"/>
      <w:marRight w:val="0"/>
      <w:marTop w:val="0"/>
      <w:marBottom w:val="0"/>
      <w:divBdr>
        <w:top w:val="none" w:sz="0" w:space="0" w:color="auto"/>
        <w:left w:val="none" w:sz="0" w:space="0" w:color="auto"/>
        <w:bottom w:val="none" w:sz="0" w:space="0" w:color="auto"/>
        <w:right w:val="none" w:sz="0" w:space="0" w:color="auto"/>
      </w:divBdr>
      <w:divsChild>
        <w:div w:id="1424838231">
          <w:marLeft w:val="432"/>
          <w:marRight w:val="0"/>
          <w:marTop w:val="240"/>
          <w:marBottom w:val="0"/>
          <w:divBdr>
            <w:top w:val="none" w:sz="0" w:space="0" w:color="auto"/>
            <w:left w:val="none" w:sz="0" w:space="0" w:color="auto"/>
            <w:bottom w:val="none" w:sz="0" w:space="0" w:color="auto"/>
            <w:right w:val="none" w:sz="0" w:space="0" w:color="auto"/>
          </w:divBdr>
        </w:div>
        <w:div w:id="813718255">
          <w:marLeft w:val="432"/>
          <w:marRight w:val="0"/>
          <w:marTop w:val="240"/>
          <w:marBottom w:val="0"/>
          <w:divBdr>
            <w:top w:val="none" w:sz="0" w:space="0" w:color="auto"/>
            <w:left w:val="none" w:sz="0" w:space="0" w:color="auto"/>
            <w:bottom w:val="none" w:sz="0" w:space="0" w:color="auto"/>
            <w:right w:val="none" w:sz="0" w:space="0" w:color="auto"/>
          </w:divBdr>
        </w:div>
        <w:div w:id="777532603">
          <w:marLeft w:val="432"/>
          <w:marRight w:val="0"/>
          <w:marTop w:val="240"/>
          <w:marBottom w:val="0"/>
          <w:divBdr>
            <w:top w:val="none" w:sz="0" w:space="0" w:color="auto"/>
            <w:left w:val="none" w:sz="0" w:space="0" w:color="auto"/>
            <w:bottom w:val="none" w:sz="0" w:space="0" w:color="auto"/>
            <w:right w:val="none" w:sz="0" w:space="0" w:color="auto"/>
          </w:divBdr>
        </w:div>
        <w:div w:id="1442921735">
          <w:marLeft w:val="432"/>
          <w:marRight w:val="0"/>
          <w:marTop w:val="240"/>
          <w:marBottom w:val="0"/>
          <w:divBdr>
            <w:top w:val="none" w:sz="0" w:space="0" w:color="auto"/>
            <w:left w:val="none" w:sz="0" w:space="0" w:color="auto"/>
            <w:bottom w:val="none" w:sz="0" w:space="0" w:color="auto"/>
            <w:right w:val="none" w:sz="0" w:space="0" w:color="auto"/>
          </w:divBdr>
        </w:div>
        <w:div w:id="1125660887">
          <w:marLeft w:val="1267"/>
          <w:marRight w:val="0"/>
          <w:marTop w:val="180"/>
          <w:marBottom w:val="0"/>
          <w:divBdr>
            <w:top w:val="none" w:sz="0" w:space="0" w:color="auto"/>
            <w:left w:val="none" w:sz="0" w:space="0" w:color="auto"/>
            <w:bottom w:val="none" w:sz="0" w:space="0" w:color="auto"/>
            <w:right w:val="none" w:sz="0" w:space="0" w:color="auto"/>
          </w:divBdr>
        </w:div>
        <w:div w:id="465010307">
          <w:marLeft w:val="432"/>
          <w:marRight w:val="0"/>
          <w:marTop w:val="240"/>
          <w:marBottom w:val="0"/>
          <w:divBdr>
            <w:top w:val="none" w:sz="0" w:space="0" w:color="auto"/>
            <w:left w:val="none" w:sz="0" w:space="0" w:color="auto"/>
            <w:bottom w:val="none" w:sz="0" w:space="0" w:color="auto"/>
            <w:right w:val="none" w:sz="0" w:space="0" w:color="auto"/>
          </w:divBdr>
        </w:div>
        <w:div w:id="451557539">
          <w:marLeft w:val="432"/>
          <w:marRight w:val="0"/>
          <w:marTop w:val="240"/>
          <w:marBottom w:val="0"/>
          <w:divBdr>
            <w:top w:val="none" w:sz="0" w:space="0" w:color="auto"/>
            <w:left w:val="none" w:sz="0" w:space="0" w:color="auto"/>
            <w:bottom w:val="none" w:sz="0" w:space="0" w:color="auto"/>
            <w:right w:val="none" w:sz="0" w:space="0" w:color="auto"/>
          </w:divBdr>
        </w:div>
        <w:div w:id="2096974757">
          <w:marLeft w:val="1267"/>
          <w:marRight w:val="0"/>
          <w:marTop w:val="180"/>
          <w:marBottom w:val="0"/>
          <w:divBdr>
            <w:top w:val="none" w:sz="0" w:space="0" w:color="auto"/>
            <w:left w:val="none" w:sz="0" w:space="0" w:color="auto"/>
            <w:bottom w:val="none" w:sz="0" w:space="0" w:color="auto"/>
            <w:right w:val="none" w:sz="0" w:space="0" w:color="auto"/>
          </w:divBdr>
        </w:div>
        <w:div w:id="725643379">
          <w:marLeft w:val="432"/>
          <w:marRight w:val="0"/>
          <w:marTop w:val="240"/>
          <w:marBottom w:val="0"/>
          <w:divBdr>
            <w:top w:val="none" w:sz="0" w:space="0" w:color="auto"/>
            <w:left w:val="none" w:sz="0" w:space="0" w:color="auto"/>
            <w:bottom w:val="none" w:sz="0" w:space="0" w:color="auto"/>
            <w:right w:val="none" w:sz="0" w:space="0" w:color="auto"/>
          </w:divBdr>
        </w:div>
        <w:div w:id="1459952950">
          <w:marLeft w:val="1267"/>
          <w:marRight w:val="0"/>
          <w:marTop w:val="180"/>
          <w:marBottom w:val="0"/>
          <w:divBdr>
            <w:top w:val="none" w:sz="0" w:space="0" w:color="auto"/>
            <w:left w:val="none" w:sz="0" w:space="0" w:color="auto"/>
            <w:bottom w:val="none" w:sz="0" w:space="0" w:color="auto"/>
            <w:right w:val="none" w:sz="0" w:space="0" w:color="auto"/>
          </w:divBdr>
        </w:div>
      </w:divsChild>
    </w:div>
    <w:div w:id="1159035764">
      <w:bodyDiv w:val="1"/>
      <w:marLeft w:val="0"/>
      <w:marRight w:val="0"/>
      <w:marTop w:val="0"/>
      <w:marBottom w:val="0"/>
      <w:divBdr>
        <w:top w:val="none" w:sz="0" w:space="0" w:color="auto"/>
        <w:left w:val="none" w:sz="0" w:space="0" w:color="auto"/>
        <w:bottom w:val="none" w:sz="0" w:space="0" w:color="auto"/>
        <w:right w:val="none" w:sz="0" w:space="0" w:color="auto"/>
      </w:divBdr>
    </w:div>
    <w:div w:id="1163744581">
      <w:bodyDiv w:val="1"/>
      <w:marLeft w:val="0"/>
      <w:marRight w:val="0"/>
      <w:marTop w:val="0"/>
      <w:marBottom w:val="0"/>
      <w:divBdr>
        <w:top w:val="none" w:sz="0" w:space="0" w:color="auto"/>
        <w:left w:val="none" w:sz="0" w:space="0" w:color="auto"/>
        <w:bottom w:val="none" w:sz="0" w:space="0" w:color="auto"/>
        <w:right w:val="none" w:sz="0" w:space="0" w:color="auto"/>
      </w:divBdr>
    </w:div>
    <w:div w:id="1167359636">
      <w:bodyDiv w:val="1"/>
      <w:marLeft w:val="0"/>
      <w:marRight w:val="0"/>
      <w:marTop w:val="0"/>
      <w:marBottom w:val="0"/>
      <w:divBdr>
        <w:top w:val="none" w:sz="0" w:space="0" w:color="auto"/>
        <w:left w:val="none" w:sz="0" w:space="0" w:color="auto"/>
        <w:bottom w:val="none" w:sz="0" w:space="0" w:color="auto"/>
        <w:right w:val="none" w:sz="0" w:space="0" w:color="auto"/>
      </w:divBdr>
    </w:div>
    <w:div w:id="116766803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2791523">
      <w:bodyDiv w:val="1"/>
      <w:marLeft w:val="0"/>
      <w:marRight w:val="0"/>
      <w:marTop w:val="0"/>
      <w:marBottom w:val="0"/>
      <w:divBdr>
        <w:top w:val="none" w:sz="0" w:space="0" w:color="auto"/>
        <w:left w:val="none" w:sz="0" w:space="0" w:color="auto"/>
        <w:bottom w:val="none" w:sz="0" w:space="0" w:color="auto"/>
        <w:right w:val="none" w:sz="0" w:space="0" w:color="auto"/>
      </w:divBdr>
    </w:div>
    <w:div w:id="1183862657">
      <w:bodyDiv w:val="1"/>
      <w:marLeft w:val="0"/>
      <w:marRight w:val="0"/>
      <w:marTop w:val="0"/>
      <w:marBottom w:val="0"/>
      <w:divBdr>
        <w:top w:val="none" w:sz="0" w:space="0" w:color="auto"/>
        <w:left w:val="none" w:sz="0" w:space="0" w:color="auto"/>
        <w:bottom w:val="none" w:sz="0" w:space="0" w:color="auto"/>
        <w:right w:val="none" w:sz="0" w:space="0" w:color="auto"/>
      </w:divBdr>
    </w:div>
    <w:div w:id="1192760650">
      <w:bodyDiv w:val="1"/>
      <w:marLeft w:val="0"/>
      <w:marRight w:val="0"/>
      <w:marTop w:val="0"/>
      <w:marBottom w:val="0"/>
      <w:divBdr>
        <w:top w:val="none" w:sz="0" w:space="0" w:color="auto"/>
        <w:left w:val="none" w:sz="0" w:space="0" w:color="auto"/>
        <w:bottom w:val="none" w:sz="0" w:space="0" w:color="auto"/>
        <w:right w:val="none" w:sz="0" w:space="0" w:color="auto"/>
      </w:divBdr>
    </w:div>
    <w:div w:id="1197692708">
      <w:bodyDiv w:val="1"/>
      <w:marLeft w:val="0"/>
      <w:marRight w:val="0"/>
      <w:marTop w:val="0"/>
      <w:marBottom w:val="0"/>
      <w:divBdr>
        <w:top w:val="none" w:sz="0" w:space="0" w:color="auto"/>
        <w:left w:val="none" w:sz="0" w:space="0" w:color="auto"/>
        <w:bottom w:val="none" w:sz="0" w:space="0" w:color="auto"/>
        <w:right w:val="none" w:sz="0" w:space="0" w:color="auto"/>
      </w:divBdr>
    </w:div>
    <w:div w:id="1207377195">
      <w:bodyDiv w:val="1"/>
      <w:marLeft w:val="0"/>
      <w:marRight w:val="0"/>
      <w:marTop w:val="0"/>
      <w:marBottom w:val="0"/>
      <w:divBdr>
        <w:top w:val="none" w:sz="0" w:space="0" w:color="auto"/>
        <w:left w:val="none" w:sz="0" w:space="0" w:color="auto"/>
        <w:bottom w:val="none" w:sz="0" w:space="0" w:color="auto"/>
        <w:right w:val="none" w:sz="0" w:space="0" w:color="auto"/>
      </w:divBdr>
    </w:div>
    <w:div w:id="1217815040">
      <w:bodyDiv w:val="1"/>
      <w:marLeft w:val="0"/>
      <w:marRight w:val="0"/>
      <w:marTop w:val="0"/>
      <w:marBottom w:val="0"/>
      <w:divBdr>
        <w:top w:val="none" w:sz="0" w:space="0" w:color="auto"/>
        <w:left w:val="none" w:sz="0" w:space="0" w:color="auto"/>
        <w:bottom w:val="none" w:sz="0" w:space="0" w:color="auto"/>
        <w:right w:val="none" w:sz="0" w:space="0" w:color="auto"/>
      </w:divBdr>
    </w:div>
    <w:div w:id="1227374254">
      <w:bodyDiv w:val="1"/>
      <w:marLeft w:val="0"/>
      <w:marRight w:val="0"/>
      <w:marTop w:val="0"/>
      <w:marBottom w:val="0"/>
      <w:divBdr>
        <w:top w:val="none" w:sz="0" w:space="0" w:color="auto"/>
        <w:left w:val="none" w:sz="0" w:space="0" w:color="auto"/>
        <w:bottom w:val="none" w:sz="0" w:space="0" w:color="auto"/>
        <w:right w:val="none" w:sz="0" w:space="0" w:color="auto"/>
      </w:divBdr>
    </w:div>
    <w:div w:id="1229344722">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9827661">
      <w:bodyDiv w:val="1"/>
      <w:marLeft w:val="0"/>
      <w:marRight w:val="0"/>
      <w:marTop w:val="0"/>
      <w:marBottom w:val="0"/>
      <w:divBdr>
        <w:top w:val="none" w:sz="0" w:space="0" w:color="auto"/>
        <w:left w:val="none" w:sz="0" w:space="0" w:color="auto"/>
        <w:bottom w:val="none" w:sz="0" w:space="0" w:color="auto"/>
        <w:right w:val="none" w:sz="0" w:space="0" w:color="auto"/>
      </w:divBdr>
    </w:div>
    <w:div w:id="1266227086">
      <w:bodyDiv w:val="1"/>
      <w:marLeft w:val="0"/>
      <w:marRight w:val="0"/>
      <w:marTop w:val="0"/>
      <w:marBottom w:val="0"/>
      <w:divBdr>
        <w:top w:val="none" w:sz="0" w:space="0" w:color="auto"/>
        <w:left w:val="none" w:sz="0" w:space="0" w:color="auto"/>
        <w:bottom w:val="none" w:sz="0" w:space="0" w:color="auto"/>
        <w:right w:val="none" w:sz="0" w:space="0" w:color="auto"/>
      </w:divBdr>
    </w:div>
    <w:div w:id="1272472110">
      <w:bodyDiv w:val="1"/>
      <w:marLeft w:val="0"/>
      <w:marRight w:val="0"/>
      <w:marTop w:val="0"/>
      <w:marBottom w:val="0"/>
      <w:divBdr>
        <w:top w:val="none" w:sz="0" w:space="0" w:color="auto"/>
        <w:left w:val="none" w:sz="0" w:space="0" w:color="auto"/>
        <w:bottom w:val="none" w:sz="0" w:space="0" w:color="auto"/>
        <w:right w:val="none" w:sz="0" w:space="0" w:color="auto"/>
      </w:divBdr>
    </w:div>
    <w:div w:id="1285649472">
      <w:bodyDiv w:val="1"/>
      <w:marLeft w:val="0"/>
      <w:marRight w:val="0"/>
      <w:marTop w:val="0"/>
      <w:marBottom w:val="0"/>
      <w:divBdr>
        <w:top w:val="none" w:sz="0" w:space="0" w:color="auto"/>
        <w:left w:val="none" w:sz="0" w:space="0" w:color="auto"/>
        <w:bottom w:val="none" w:sz="0" w:space="0" w:color="auto"/>
        <w:right w:val="none" w:sz="0" w:space="0" w:color="auto"/>
      </w:divBdr>
    </w:div>
    <w:div w:id="1306279398">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15184109">
      <w:bodyDiv w:val="1"/>
      <w:marLeft w:val="0"/>
      <w:marRight w:val="0"/>
      <w:marTop w:val="0"/>
      <w:marBottom w:val="0"/>
      <w:divBdr>
        <w:top w:val="none" w:sz="0" w:space="0" w:color="auto"/>
        <w:left w:val="none" w:sz="0" w:space="0" w:color="auto"/>
        <w:bottom w:val="none" w:sz="0" w:space="0" w:color="auto"/>
        <w:right w:val="none" w:sz="0" w:space="0" w:color="auto"/>
      </w:divBdr>
    </w:div>
    <w:div w:id="1336415736">
      <w:bodyDiv w:val="1"/>
      <w:marLeft w:val="0"/>
      <w:marRight w:val="0"/>
      <w:marTop w:val="0"/>
      <w:marBottom w:val="0"/>
      <w:divBdr>
        <w:top w:val="none" w:sz="0" w:space="0" w:color="auto"/>
        <w:left w:val="none" w:sz="0" w:space="0" w:color="auto"/>
        <w:bottom w:val="none" w:sz="0" w:space="0" w:color="auto"/>
        <w:right w:val="none" w:sz="0" w:space="0" w:color="auto"/>
      </w:divBdr>
    </w:div>
    <w:div w:id="1342269899">
      <w:bodyDiv w:val="1"/>
      <w:marLeft w:val="0"/>
      <w:marRight w:val="0"/>
      <w:marTop w:val="0"/>
      <w:marBottom w:val="0"/>
      <w:divBdr>
        <w:top w:val="none" w:sz="0" w:space="0" w:color="auto"/>
        <w:left w:val="none" w:sz="0" w:space="0" w:color="auto"/>
        <w:bottom w:val="none" w:sz="0" w:space="0" w:color="auto"/>
        <w:right w:val="none" w:sz="0" w:space="0" w:color="auto"/>
      </w:divBdr>
    </w:div>
    <w:div w:id="1342970630">
      <w:bodyDiv w:val="1"/>
      <w:marLeft w:val="0"/>
      <w:marRight w:val="0"/>
      <w:marTop w:val="0"/>
      <w:marBottom w:val="0"/>
      <w:divBdr>
        <w:top w:val="none" w:sz="0" w:space="0" w:color="auto"/>
        <w:left w:val="none" w:sz="0" w:space="0" w:color="auto"/>
        <w:bottom w:val="none" w:sz="0" w:space="0" w:color="auto"/>
        <w:right w:val="none" w:sz="0" w:space="0" w:color="auto"/>
      </w:divBdr>
      <w:divsChild>
        <w:div w:id="1777753778">
          <w:marLeft w:val="432"/>
          <w:marRight w:val="0"/>
          <w:marTop w:val="240"/>
          <w:marBottom w:val="0"/>
          <w:divBdr>
            <w:top w:val="none" w:sz="0" w:space="0" w:color="auto"/>
            <w:left w:val="none" w:sz="0" w:space="0" w:color="auto"/>
            <w:bottom w:val="none" w:sz="0" w:space="0" w:color="auto"/>
            <w:right w:val="none" w:sz="0" w:space="0" w:color="auto"/>
          </w:divBdr>
        </w:div>
        <w:div w:id="2142379159">
          <w:marLeft w:val="432"/>
          <w:marRight w:val="0"/>
          <w:marTop w:val="240"/>
          <w:marBottom w:val="0"/>
          <w:divBdr>
            <w:top w:val="none" w:sz="0" w:space="0" w:color="auto"/>
            <w:left w:val="none" w:sz="0" w:space="0" w:color="auto"/>
            <w:bottom w:val="none" w:sz="0" w:space="0" w:color="auto"/>
            <w:right w:val="none" w:sz="0" w:space="0" w:color="auto"/>
          </w:divBdr>
        </w:div>
      </w:divsChild>
    </w:div>
    <w:div w:id="1356005755">
      <w:bodyDiv w:val="1"/>
      <w:marLeft w:val="0"/>
      <w:marRight w:val="0"/>
      <w:marTop w:val="0"/>
      <w:marBottom w:val="0"/>
      <w:divBdr>
        <w:top w:val="none" w:sz="0" w:space="0" w:color="auto"/>
        <w:left w:val="none" w:sz="0" w:space="0" w:color="auto"/>
        <w:bottom w:val="none" w:sz="0" w:space="0" w:color="auto"/>
        <w:right w:val="none" w:sz="0" w:space="0" w:color="auto"/>
      </w:divBdr>
    </w:div>
    <w:div w:id="1365010959">
      <w:bodyDiv w:val="1"/>
      <w:marLeft w:val="0"/>
      <w:marRight w:val="0"/>
      <w:marTop w:val="0"/>
      <w:marBottom w:val="0"/>
      <w:divBdr>
        <w:top w:val="none" w:sz="0" w:space="0" w:color="auto"/>
        <w:left w:val="none" w:sz="0" w:space="0" w:color="auto"/>
        <w:bottom w:val="none" w:sz="0" w:space="0" w:color="auto"/>
        <w:right w:val="none" w:sz="0" w:space="0" w:color="auto"/>
      </w:divBdr>
    </w:div>
    <w:div w:id="137488463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2070532">
      <w:bodyDiv w:val="1"/>
      <w:marLeft w:val="0"/>
      <w:marRight w:val="0"/>
      <w:marTop w:val="0"/>
      <w:marBottom w:val="0"/>
      <w:divBdr>
        <w:top w:val="none" w:sz="0" w:space="0" w:color="auto"/>
        <w:left w:val="none" w:sz="0" w:space="0" w:color="auto"/>
        <w:bottom w:val="none" w:sz="0" w:space="0" w:color="auto"/>
        <w:right w:val="none" w:sz="0" w:space="0" w:color="auto"/>
      </w:divBdr>
    </w:div>
    <w:div w:id="1399287656">
      <w:bodyDiv w:val="1"/>
      <w:marLeft w:val="0"/>
      <w:marRight w:val="0"/>
      <w:marTop w:val="0"/>
      <w:marBottom w:val="0"/>
      <w:divBdr>
        <w:top w:val="none" w:sz="0" w:space="0" w:color="auto"/>
        <w:left w:val="none" w:sz="0" w:space="0" w:color="auto"/>
        <w:bottom w:val="none" w:sz="0" w:space="0" w:color="auto"/>
        <w:right w:val="none" w:sz="0" w:space="0" w:color="auto"/>
      </w:divBdr>
    </w:div>
    <w:div w:id="1404180912">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9861168">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36515174">
      <w:bodyDiv w:val="1"/>
      <w:marLeft w:val="0"/>
      <w:marRight w:val="0"/>
      <w:marTop w:val="0"/>
      <w:marBottom w:val="0"/>
      <w:divBdr>
        <w:top w:val="none" w:sz="0" w:space="0" w:color="auto"/>
        <w:left w:val="none" w:sz="0" w:space="0" w:color="auto"/>
        <w:bottom w:val="none" w:sz="0" w:space="0" w:color="auto"/>
        <w:right w:val="none" w:sz="0" w:space="0" w:color="auto"/>
      </w:divBdr>
    </w:div>
    <w:div w:id="1438217469">
      <w:bodyDiv w:val="1"/>
      <w:marLeft w:val="0"/>
      <w:marRight w:val="0"/>
      <w:marTop w:val="0"/>
      <w:marBottom w:val="0"/>
      <w:divBdr>
        <w:top w:val="none" w:sz="0" w:space="0" w:color="auto"/>
        <w:left w:val="none" w:sz="0" w:space="0" w:color="auto"/>
        <w:bottom w:val="none" w:sz="0" w:space="0" w:color="auto"/>
        <w:right w:val="none" w:sz="0" w:space="0" w:color="auto"/>
      </w:divBdr>
    </w:div>
    <w:div w:id="1440442363">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58528332">
      <w:bodyDiv w:val="1"/>
      <w:marLeft w:val="0"/>
      <w:marRight w:val="0"/>
      <w:marTop w:val="0"/>
      <w:marBottom w:val="0"/>
      <w:divBdr>
        <w:top w:val="none" w:sz="0" w:space="0" w:color="auto"/>
        <w:left w:val="none" w:sz="0" w:space="0" w:color="auto"/>
        <w:bottom w:val="none" w:sz="0" w:space="0" w:color="auto"/>
        <w:right w:val="none" w:sz="0" w:space="0" w:color="auto"/>
      </w:divBdr>
      <w:divsChild>
        <w:div w:id="1701511876">
          <w:marLeft w:val="432"/>
          <w:marRight w:val="0"/>
          <w:marTop w:val="240"/>
          <w:marBottom w:val="0"/>
          <w:divBdr>
            <w:top w:val="none" w:sz="0" w:space="0" w:color="auto"/>
            <w:left w:val="none" w:sz="0" w:space="0" w:color="auto"/>
            <w:bottom w:val="none" w:sz="0" w:space="0" w:color="auto"/>
            <w:right w:val="none" w:sz="0" w:space="0" w:color="auto"/>
          </w:divBdr>
        </w:div>
        <w:div w:id="2127460743">
          <w:marLeft w:val="1267"/>
          <w:marRight w:val="0"/>
          <w:marTop w:val="180"/>
          <w:marBottom w:val="0"/>
          <w:divBdr>
            <w:top w:val="none" w:sz="0" w:space="0" w:color="auto"/>
            <w:left w:val="none" w:sz="0" w:space="0" w:color="auto"/>
            <w:bottom w:val="none" w:sz="0" w:space="0" w:color="auto"/>
            <w:right w:val="none" w:sz="0" w:space="0" w:color="auto"/>
          </w:divBdr>
        </w:div>
      </w:divsChild>
    </w:div>
    <w:div w:id="1471285765">
      <w:bodyDiv w:val="1"/>
      <w:marLeft w:val="0"/>
      <w:marRight w:val="0"/>
      <w:marTop w:val="0"/>
      <w:marBottom w:val="0"/>
      <w:divBdr>
        <w:top w:val="none" w:sz="0" w:space="0" w:color="auto"/>
        <w:left w:val="none" w:sz="0" w:space="0" w:color="auto"/>
        <w:bottom w:val="none" w:sz="0" w:space="0" w:color="auto"/>
        <w:right w:val="none" w:sz="0" w:space="0" w:color="auto"/>
      </w:divBdr>
    </w:div>
    <w:div w:id="1479031059">
      <w:bodyDiv w:val="1"/>
      <w:marLeft w:val="0"/>
      <w:marRight w:val="0"/>
      <w:marTop w:val="0"/>
      <w:marBottom w:val="0"/>
      <w:divBdr>
        <w:top w:val="none" w:sz="0" w:space="0" w:color="auto"/>
        <w:left w:val="none" w:sz="0" w:space="0" w:color="auto"/>
        <w:bottom w:val="none" w:sz="0" w:space="0" w:color="auto"/>
        <w:right w:val="none" w:sz="0" w:space="0" w:color="auto"/>
      </w:divBdr>
    </w:div>
    <w:div w:id="1481266017">
      <w:bodyDiv w:val="1"/>
      <w:marLeft w:val="0"/>
      <w:marRight w:val="0"/>
      <w:marTop w:val="0"/>
      <w:marBottom w:val="0"/>
      <w:divBdr>
        <w:top w:val="none" w:sz="0" w:space="0" w:color="auto"/>
        <w:left w:val="none" w:sz="0" w:space="0" w:color="auto"/>
        <w:bottom w:val="none" w:sz="0" w:space="0" w:color="auto"/>
        <w:right w:val="none" w:sz="0" w:space="0" w:color="auto"/>
      </w:divBdr>
    </w:div>
    <w:div w:id="1490635979">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499156794">
      <w:bodyDiv w:val="1"/>
      <w:marLeft w:val="0"/>
      <w:marRight w:val="0"/>
      <w:marTop w:val="0"/>
      <w:marBottom w:val="0"/>
      <w:divBdr>
        <w:top w:val="none" w:sz="0" w:space="0" w:color="auto"/>
        <w:left w:val="none" w:sz="0" w:space="0" w:color="auto"/>
        <w:bottom w:val="none" w:sz="0" w:space="0" w:color="auto"/>
        <w:right w:val="none" w:sz="0" w:space="0" w:color="auto"/>
      </w:divBdr>
    </w:div>
    <w:div w:id="1511485142">
      <w:bodyDiv w:val="1"/>
      <w:marLeft w:val="0"/>
      <w:marRight w:val="0"/>
      <w:marTop w:val="0"/>
      <w:marBottom w:val="0"/>
      <w:divBdr>
        <w:top w:val="none" w:sz="0" w:space="0" w:color="auto"/>
        <w:left w:val="none" w:sz="0" w:space="0" w:color="auto"/>
        <w:bottom w:val="none" w:sz="0" w:space="0" w:color="auto"/>
        <w:right w:val="none" w:sz="0" w:space="0" w:color="auto"/>
      </w:divBdr>
    </w:div>
    <w:div w:id="1514107327">
      <w:bodyDiv w:val="1"/>
      <w:marLeft w:val="0"/>
      <w:marRight w:val="0"/>
      <w:marTop w:val="0"/>
      <w:marBottom w:val="0"/>
      <w:divBdr>
        <w:top w:val="none" w:sz="0" w:space="0" w:color="auto"/>
        <w:left w:val="none" w:sz="0" w:space="0" w:color="auto"/>
        <w:bottom w:val="none" w:sz="0" w:space="0" w:color="auto"/>
        <w:right w:val="none" w:sz="0" w:space="0" w:color="auto"/>
      </w:divBdr>
    </w:div>
    <w:div w:id="1520847623">
      <w:bodyDiv w:val="1"/>
      <w:marLeft w:val="0"/>
      <w:marRight w:val="0"/>
      <w:marTop w:val="0"/>
      <w:marBottom w:val="0"/>
      <w:divBdr>
        <w:top w:val="none" w:sz="0" w:space="0" w:color="auto"/>
        <w:left w:val="none" w:sz="0" w:space="0" w:color="auto"/>
        <w:bottom w:val="none" w:sz="0" w:space="0" w:color="auto"/>
        <w:right w:val="none" w:sz="0" w:space="0" w:color="auto"/>
      </w:divBdr>
      <w:divsChild>
        <w:div w:id="1071081751">
          <w:marLeft w:val="432"/>
          <w:marRight w:val="0"/>
          <w:marTop w:val="240"/>
          <w:marBottom w:val="0"/>
          <w:divBdr>
            <w:top w:val="none" w:sz="0" w:space="0" w:color="auto"/>
            <w:left w:val="none" w:sz="0" w:space="0" w:color="auto"/>
            <w:bottom w:val="none" w:sz="0" w:space="0" w:color="auto"/>
            <w:right w:val="none" w:sz="0" w:space="0" w:color="auto"/>
          </w:divBdr>
        </w:div>
        <w:div w:id="1824348901">
          <w:marLeft w:val="1267"/>
          <w:marRight w:val="0"/>
          <w:marTop w:val="180"/>
          <w:marBottom w:val="0"/>
          <w:divBdr>
            <w:top w:val="none" w:sz="0" w:space="0" w:color="auto"/>
            <w:left w:val="none" w:sz="0" w:space="0" w:color="auto"/>
            <w:bottom w:val="none" w:sz="0" w:space="0" w:color="auto"/>
            <w:right w:val="none" w:sz="0" w:space="0" w:color="auto"/>
          </w:divBdr>
        </w:div>
        <w:div w:id="888615866">
          <w:marLeft w:val="432"/>
          <w:marRight w:val="0"/>
          <w:marTop w:val="240"/>
          <w:marBottom w:val="0"/>
          <w:divBdr>
            <w:top w:val="none" w:sz="0" w:space="0" w:color="auto"/>
            <w:left w:val="none" w:sz="0" w:space="0" w:color="auto"/>
            <w:bottom w:val="none" w:sz="0" w:space="0" w:color="auto"/>
            <w:right w:val="none" w:sz="0" w:space="0" w:color="auto"/>
          </w:divBdr>
        </w:div>
        <w:div w:id="713850347">
          <w:marLeft w:val="432"/>
          <w:marRight w:val="0"/>
          <w:marTop w:val="240"/>
          <w:marBottom w:val="0"/>
          <w:divBdr>
            <w:top w:val="none" w:sz="0" w:space="0" w:color="auto"/>
            <w:left w:val="none" w:sz="0" w:space="0" w:color="auto"/>
            <w:bottom w:val="none" w:sz="0" w:space="0" w:color="auto"/>
            <w:right w:val="none" w:sz="0" w:space="0" w:color="auto"/>
          </w:divBdr>
        </w:div>
      </w:divsChild>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388843">
      <w:bodyDiv w:val="1"/>
      <w:marLeft w:val="0"/>
      <w:marRight w:val="0"/>
      <w:marTop w:val="0"/>
      <w:marBottom w:val="0"/>
      <w:divBdr>
        <w:top w:val="none" w:sz="0" w:space="0" w:color="auto"/>
        <w:left w:val="none" w:sz="0" w:space="0" w:color="auto"/>
        <w:bottom w:val="none" w:sz="0" w:space="0" w:color="auto"/>
        <w:right w:val="none" w:sz="0" w:space="0" w:color="auto"/>
      </w:divBdr>
    </w:div>
    <w:div w:id="1557201081">
      <w:bodyDiv w:val="1"/>
      <w:marLeft w:val="0"/>
      <w:marRight w:val="0"/>
      <w:marTop w:val="0"/>
      <w:marBottom w:val="0"/>
      <w:divBdr>
        <w:top w:val="none" w:sz="0" w:space="0" w:color="auto"/>
        <w:left w:val="none" w:sz="0" w:space="0" w:color="auto"/>
        <w:bottom w:val="none" w:sz="0" w:space="0" w:color="auto"/>
        <w:right w:val="none" w:sz="0" w:space="0" w:color="auto"/>
      </w:divBdr>
      <w:divsChild>
        <w:div w:id="246577663">
          <w:marLeft w:val="288"/>
          <w:marRight w:val="0"/>
          <w:marTop w:val="0"/>
          <w:marBottom w:val="0"/>
          <w:divBdr>
            <w:top w:val="none" w:sz="0" w:space="0" w:color="auto"/>
            <w:left w:val="none" w:sz="0" w:space="0" w:color="auto"/>
            <w:bottom w:val="none" w:sz="0" w:space="0" w:color="auto"/>
            <w:right w:val="none" w:sz="0" w:space="0" w:color="auto"/>
          </w:divBdr>
        </w:div>
        <w:div w:id="1423406317">
          <w:marLeft w:val="288"/>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4945527">
      <w:bodyDiv w:val="1"/>
      <w:marLeft w:val="0"/>
      <w:marRight w:val="0"/>
      <w:marTop w:val="0"/>
      <w:marBottom w:val="0"/>
      <w:divBdr>
        <w:top w:val="none" w:sz="0" w:space="0" w:color="auto"/>
        <w:left w:val="none" w:sz="0" w:space="0" w:color="auto"/>
        <w:bottom w:val="none" w:sz="0" w:space="0" w:color="auto"/>
        <w:right w:val="none" w:sz="0" w:space="0" w:color="auto"/>
      </w:divBdr>
    </w:div>
    <w:div w:id="1567228903">
      <w:bodyDiv w:val="1"/>
      <w:marLeft w:val="0"/>
      <w:marRight w:val="0"/>
      <w:marTop w:val="0"/>
      <w:marBottom w:val="0"/>
      <w:divBdr>
        <w:top w:val="none" w:sz="0" w:space="0" w:color="auto"/>
        <w:left w:val="none" w:sz="0" w:space="0" w:color="auto"/>
        <w:bottom w:val="none" w:sz="0" w:space="0" w:color="auto"/>
        <w:right w:val="none" w:sz="0" w:space="0" w:color="auto"/>
      </w:divBdr>
    </w:div>
    <w:div w:id="1578635382">
      <w:bodyDiv w:val="1"/>
      <w:marLeft w:val="0"/>
      <w:marRight w:val="0"/>
      <w:marTop w:val="0"/>
      <w:marBottom w:val="0"/>
      <w:divBdr>
        <w:top w:val="none" w:sz="0" w:space="0" w:color="auto"/>
        <w:left w:val="none" w:sz="0" w:space="0" w:color="auto"/>
        <w:bottom w:val="none" w:sz="0" w:space="0" w:color="auto"/>
        <w:right w:val="none" w:sz="0" w:space="0" w:color="auto"/>
      </w:divBdr>
    </w:div>
    <w:div w:id="1593322072">
      <w:bodyDiv w:val="1"/>
      <w:marLeft w:val="0"/>
      <w:marRight w:val="0"/>
      <w:marTop w:val="0"/>
      <w:marBottom w:val="0"/>
      <w:divBdr>
        <w:top w:val="none" w:sz="0" w:space="0" w:color="auto"/>
        <w:left w:val="none" w:sz="0" w:space="0" w:color="auto"/>
        <w:bottom w:val="none" w:sz="0" w:space="0" w:color="auto"/>
        <w:right w:val="none" w:sz="0" w:space="0" w:color="auto"/>
      </w:divBdr>
    </w:div>
    <w:div w:id="1597129511">
      <w:bodyDiv w:val="1"/>
      <w:marLeft w:val="0"/>
      <w:marRight w:val="0"/>
      <w:marTop w:val="0"/>
      <w:marBottom w:val="0"/>
      <w:divBdr>
        <w:top w:val="none" w:sz="0" w:space="0" w:color="auto"/>
        <w:left w:val="none" w:sz="0" w:space="0" w:color="auto"/>
        <w:bottom w:val="none" w:sz="0" w:space="0" w:color="auto"/>
        <w:right w:val="none" w:sz="0" w:space="0" w:color="auto"/>
      </w:divBdr>
    </w:div>
    <w:div w:id="1597443341">
      <w:bodyDiv w:val="1"/>
      <w:marLeft w:val="0"/>
      <w:marRight w:val="0"/>
      <w:marTop w:val="0"/>
      <w:marBottom w:val="0"/>
      <w:divBdr>
        <w:top w:val="none" w:sz="0" w:space="0" w:color="auto"/>
        <w:left w:val="none" w:sz="0" w:space="0" w:color="auto"/>
        <w:bottom w:val="none" w:sz="0" w:space="0" w:color="auto"/>
        <w:right w:val="none" w:sz="0" w:space="0" w:color="auto"/>
      </w:divBdr>
      <w:divsChild>
        <w:div w:id="215120607">
          <w:marLeft w:val="446"/>
          <w:marRight w:val="0"/>
          <w:marTop w:val="0"/>
          <w:marBottom w:val="120"/>
          <w:divBdr>
            <w:top w:val="none" w:sz="0" w:space="0" w:color="auto"/>
            <w:left w:val="none" w:sz="0" w:space="0" w:color="auto"/>
            <w:bottom w:val="none" w:sz="0" w:space="0" w:color="auto"/>
            <w:right w:val="none" w:sz="0" w:space="0" w:color="auto"/>
          </w:divBdr>
        </w:div>
      </w:divsChild>
    </w:div>
    <w:div w:id="1618102420">
      <w:bodyDiv w:val="1"/>
      <w:marLeft w:val="0"/>
      <w:marRight w:val="0"/>
      <w:marTop w:val="0"/>
      <w:marBottom w:val="0"/>
      <w:divBdr>
        <w:top w:val="none" w:sz="0" w:space="0" w:color="auto"/>
        <w:left w:val="none" w:sz="0" w:space="0" w:color="auto"/>
        <w:bottom w:val="none" w:sz="0" w:space="0" w:color="auto"/>
        <w:right w:val="none" w:sz="0" w:space="0" w:color="auto"/>
      </w:divBdr>
    </w:div>
    <w:div w:id="1627546633">
      <w:bodyDiv w:val="1"/>
      <w:marLeft w:val="0"/>
      <w:marRight w:val="0"/>
      <w:marTop w:val="0"/>
      <w:marBottom w:val="0"/>
      <w:divBdr>
        <w:top w:val="none" w:sz="0" w:space="0" w:color="auto"/>
        <w:left w:val="none" w:sz="0" w:space="0" w:color="auto"/>
        <w:bottom w:val="none" w:sz="0" w:space="0" w:color="auto"/>
        <w:right w:val="none" w:sz="0" w:space="0" w:color="auto"/>
      </w:divBdr>
    </w:div>
    <w:div w:id="1636375184">
      <w:bodyDiv w:val="1"/>
      <w:marLeft w:val="0"/>
      <w:marRight w:val="0"/>
      <w:marTop w:val="0"/>
      <w:marBottom w:val="0"/>
      <w:divBdr>
        <w:top w:val="none" w:sz="0" w:space="0" w:color="auto"/>
        <w:left w:val="none" w:sz="0" w:space="0" w:color="auto"/>
        <w:bottom w:val="none" w:sz="0" w:space="0" w:color="auto"/>
        <w:right w:val="none" w:sz="0" w:space="0" w:color="auto"/>
      </w:divBdr>
    </w:div>
    <w:div w:id="1650204949">
      <w:bodyDiv w:val="1"/>
      <w:marLeft w:val="0"/>
      <w:marRight w:val="0"/>
      <w:marTop w:val="0"/>
      <w:marBottom w:val="0"/>
      <w:divBdr>
        <w:top w:val="none" w:sz="0" w:space="0" w:color="auto"/>
        <w:left w:val="none" w:sz="0" w:space="0" w:color="auto"/>
        <w:bottom w:val="none" w:sz="0" w:space="0" w:color="auto"/>
        <w:right w:val="none" w:sz="0" w:space="0" w:color="auto"/>
      </w:divBdr>
    </w:div>
    <w:div w:id="1651668184">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287434">
      <w:bodyDiv w:val="1"/>
      <w:marLeft w:val="0"/>
      <w:marRight w:val="0"/>
      <w:marTop w:val="0"/>
      <w:marBottom w:val="0"/>
      <w:divBdr>
        <w:top w:val="none" w:sz="0" w:space="0" w:color="auto"/>
        <w:left w:val="none" w:sz="0" w:space="0" w:color="auto"/>
        <w:bottom w:val="none" w:sz="0" w:space="0" w:color="auto"/>
        <w:right w:val="none" w:sz="0" w:space="0" w:color="auto"/>
      </w:divBdr>
    </w:div>
    <w:div w:id="1669596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013579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3967849">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57046701">
      <w:bodyDiv w:val="1"/>
      <w:marLeft w:val="0"/>
      <w:marRight w:val="0"/>
      <w:marTop w:val="0"/>
      <w:marBottom w:val="0"/>
      <w:divBdr>
        <w:top w:val="none" w:sz="0" w:space="0" w:color="auto"/>
        <w:left w:val="none" w:sz="0" w:space="0" w:color="auto"/>
        <w:bottom w:val="none" w:sz="0" w:space="0" w:color="auto"/>
        <w:right w:val="none" w:sz="0" w:space="0" w:color="auto"/>
      </w:divBdr>
    </w:div>
    <w:div w:id="1759062244">
      <w:bodyDiv w:val="1"/>
      <w:marLeft w:val="0"/>
      <w:marRight w:val="0"/>
      <w:marTop w:val="0"/>
      <w:marBottom w:val="0"/>
      <w:divBdr>
        <w:top w:val="none" w:sz="0" w:space="0" w:color="auto"/>
        <w:left w:val="none" w:sz="0" w:space="0" w:color="auto"/>
        <w:bottom w:val="none" w:sz="0" w:space="0" w:color="auto"/>
        <w:right w:val="none" w:sz="0" w:space="0" w:color="auto"/>
      </w:divBdr>
    </w:div>
    <w:div w:id="1759984425">
      <w:bodyDiv w:val="1"/>
      <w:marLeft w:val="0"/>
      <w:marRight w:val="0"/>
      <w:marTop w:val="0"/>
      <w:marBottom w:val="0"/>
      <w:divBdr>
        <w:top w:val="none" w:sz="0" w:space="0" w:color="auto"/>
        <w:left w:val="none" w:sz="0" w:space="0" w:color="auto"/>
        <w:bottom w:val="none" w:sz="0" w:space="0" w:color="auto"/>
        <w:right w:val="none" w:sz="0" w:space="0" w:color="auto"/>
      </w:divBdr>
    </w:div>
    <w:div w:id="1764180864">
      <w:bodyDiv w:val="1"/>
      <w:marLeft w:val="0"/>
      <w:marRight w:val="0"/>
      <w:marTop w:val="0"/>
      <w:marBottom w:val="0"/>
      <w:divBdr>
        <w:top w:val="none" w:sz="0" w:space="0" w:color="auto"/>
        <w:left w:val="none" w:sz="0" w:space="0" w:color="auto"/>
        <w:bottom w:val="none" w:sz="0" w:space="0" w:color="auto"/>
        <w:right w:val="none" w:sz="0" w:space="0" w:color="auto"/>
      </w:divBdr>
    </w:div>
    <w:div w:id="1770346554">
      <w:bodyDiv w:val="1"/>
      <w:marLeft w:val="0"/>
      <w:marRight w:val="0"/>
      <w:marTop w:val="0"/>
      <w:marBottom w:val="0"/>
      <w:divBdr>
        <w:top w:val="none" w:sz="0" w:space="0" w:color="auto"/>
        <w:left w:val="none" w:sz="0" w:space="0" w:color="auto"/>
        <w:bottom w:val="none" w:sz="0" w:space="0" w:color="auto"/>
        <w:right w:val="none" w:sz="0" w:space="0" w:color="auto"/>
      </w:divBdr>
    </w:div>
    <w:div w:id="1770541612">
      <w:bodyDiv w:val="1"/>
      <w:marLeft w:val="0"/>
      <w:marRight w:val="0"/>
      <w:marTop w:val="0"/>
      <w:marBottom w:val="0"/>
      <w:divBdr>
        <w:top w:val="none" w:sz="0" w:space="0" w:color="auto"/>
        <w:left w:val="none" w:sz="0" w:space="0" w:color="auto"/>
        <w:bottom w:val="none" w:sz="0" w:space="0" w:color="auto"/>
        <w:right w:val="none" w:sz="0" w:space="0" w:color="auto"/>
      </w:divBdr>
    </w:div>
    <w:div w:id="1774326195">
      <w:bodyDiv w:val="1"/>
      <w:marLeft w:val="0"/>
      <w:marRight w:val="0"/>
      <w:marTop w:val="0"/>
      <w:marBottom w:val="0"/>
      <w:divBdr>
        <w:top w:val="none" w:sz="0" w:space="0" w:color="auto"/>
        <w:left w:val="none" w:sz="0" w:space="0" w:color="auto"/>
        <w:bottom w:val="none" w:sz="0" w:space="0" w:color="auto"/>
        <w:right w:val="none" w:sz="0" w:space="0" w:color="auto"/>
      </w:divBdr>
    </w:div>
    <w:div w:id="1777363241">
      <w:bodyDiv w:val="1"/>
      <w:marLeft w:val="0"/>
      <w:marRight w:val="0"/>
      <w:marTop w:val="0"/>
      <w:marBottom w:val="0"/>
      <w:divBdr>
        <w:top w:val="none" w:sz="0" w:space="0" w:color="auto"/>
        <w:left w:val="none" w:sz="0" w:space="0" w:color="auto"/>
        <w:bottom w:val="none" w:sz="0" w:space="0" w:color="auto"/>
        <w:right w:val="none" w:sz="0" w:space="0" w:color="auto"/>
      </w:divBdr>
    </w:div>
    <w:div w:id="1783109735">
      <w:bodyDiv w:val="1"/>
      <w:marLeft w:val="0"/>
      <w:marRight w:val="0"/>
      <w:marTop w:val="0"/>
      <w:marBottom w:val="0"/>
      <w:divBdr>
        <w:top w:val="none" w:sz="0" w:space="0" w:color="auto"/>
        <w:left w:val="none" w:sz="0" w:space="0" w:color="auto"/>
        <w:bottom w:val="none" w:sz="0" w:space="0" w:color="auto"/>
        <w:right w:val="none" w:sz="0" w:space="0" w:color="auto"/>
      </w:divBdr>
    </w:div>
    <w:div w:id="1783568865">
      <w:bodyDiv w:val="1"/>
      <w:marLeft w:val="0"/>
      <w:marRight w:val="0"/>
      <w:marTop w:val="0"/>
      <w:marBottom w:val="0"/>
      <w:divBdr>
        <w:top w:val="none" w:sz="0" w:space="0" w:color="auto"/>
        <w:left w:val="none" w:sz="0" w:space="0" w:color="auto"/>
        <w:bottom w:val="none" w:sz="0" w:space="0" w:color="auto"/>
        <w:right w:val="none" w:sz="0" w:space="0" w:color="auto"/>
      </w:divBdr>
    </w:div>
    <w:div w:id="1784760505">
      <w:bodyDiv w:val="1"/>
      <w:marLeft w:val="0"/>
      <w:marRight w:val="0"/>
      <w:marTop w:val="0"/>
      <w:marBottom w:val="0"/>
      <w:divBdr>
        <w:top w:val="none" w:sz="0" w:space="0" w:color="auto"/>
        <w:left w:val="none" w:sz="0" w:space="0" w:color="auto"/>
        <w:bottom w:val="none" w:sz="0" w:space="0" w:color="auto"/>
        <w:right w:val="none" w:sz="0" w:space="0" w:color="auto"/>
      </w:divBdr>
    </w:div>
    <w:div w:id="1787964401">
      <w:bodyDiv w:val="1"/>
      <w:marLeft w:val="0"/>
      <w:marRight w:val="0"/>
      <w:marTop w:val="0"/>
      <w:marBottom w:val="0"/>
      <w:divBdr>
        <w:top w:val="none" w:sz="0" w:space="0" w:color="auto"/>
        <w:left w:val="none" w:sz="0" w:space="0" w:color="auto"/>
        <w:bottom w:val="none" w:sz="0" w:space="0" w:color="auto"/>
        <w:right w:val="none" w:sz="0" w:space="0" w:color="auto"/>
      </w:divBdr>
    </w:div>
    <w:div w:id="1790735190">
      <w:bodyDiv w:val="1"/>
      <w:marLeft w:val="0"/>
      <w:marRight w:val="0"/>
      <w:marTop w:val="0"/>
      <w:marBottom w:val="0"/>
      <w:divBdr>
        <w:top w:val="none" w:sz="0" w:space="0" w:color="auto"/>
        <w:left w:val="none" w:sz="0" w:space="0" w:color="auto"/>
        <w:bottom w:val="none" w:sz="0" w:space="0" w:color="auto"/>
        <w:right w:val="none" w:sz="0" w:space="0" w:color="auto"/>
      </w:divBdr>
    </w:div>
    <w:div w:id="1794131748">
      <w:bodyDiv w:val="1"/>
      <w:marLeft w:val="0"/>
      <w:marRight w:val="0"/>
      <w:marTop w:val="0"/>
      <w:marBottom w:val="0"/>
      <w:divBdr>
        <w:top w:val="none" w:sz="0" w:space="0" w:color="auto"/>
        <w:left w:val="none" w:sz="0" w:space="0" w:color="auto"/>
        <w:bottom w:val="none" w:sz="0" w:space="0" w:color="auto"/>
        <w:right w:val="none" w:sz="0" w:space="0" w:color="auto"/>
      </w:divBdr>
    </w:div>
    <w:div w:id="1795715546">
      <w:bodyDiv w:val="1"/>
      <w:marLeft w:val="0"/>
      <w:marRight w:val="0"/>
      <w:marTop w:val="0"/>
      <w:marBottom w:val="0"/>
      <w:divBdr>
        <w:top w:val="none" w:sz="0" w:space="0" w:color="auto"/>
        <w:left w:val="none" w:sz="0" w:space="0" w:color="auto"/>
        <w:bottom w:val="none" w:sz="0" w:space="0" w:color="auto"/>
        <w:right w:val="none" w:sz="0" w:space="0" w:color="auto"/>
      </w:divBdr>
    </w:div>
    <w:div w:id="1809787586">
      <w:bodyDiv w:val="1"/>
      <w:marLeft w:val="0"/>
      <w:marRight w:val="0"/>
      <w:marTop w:val="0"/>
      <w:marBottom w:val="0"/>
      <w:divBdr>
        <w:top w:val="none" w:sz="0" w:space="0" w:color="auto"/>
        <w:left w:val="none" w:sz="0" w:space="0" w:color="auto"/>
        <w:bottom w:val="none" w:sz="0" w:space="0" w:color="auto"/>
        <w:right w:val="none" w:sz="0" w:space="0" w:color="auto"/>
      </w:divBdr>
    </w:div>
    <w:div w:id="1833064460">
      <w:bodyDiv w:val="1"/>
      <w:marLeft w:val="0"/>
      <w:marRight w:val="0"/>
      <w:marTop w:val="0"/>
      <w:marBottom w:val="0"/>
      <w:divBdr>
        <w:top w:val="none" w:sz="0" w:space="0" w:color="auto"/>
        <w:left w:val="none" w:sz="0" w:space="0" w:color="auto"/>
        <w:bottom w:val="none" w:sz="0" w:space="0" w:color="auto"/>
        <w:right w:val="none" w:sz="0" w:space="0" w:color="auto"/>
      </w:divBdr>
    </w:div>
    <w:div w:id="1841892170">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5171995">
      <w:bodyDiv w:val="1"/>
      <w:marLeft w:val="0"/>
      <w:marRight w:val="0"/>
      <w:marTop w:val="0"/>
      <w:marBottom w:val="0"/>
      <w:divBdr>
        <w:top w:val="none" w:sz="0" w:space="0" w:color="auto"/>
        <w:left w:val="none" w:sz="0" w:space="0" w:color="auto"/>
        <w:bottom w:val="none" w:sz="0" w:space="0" w:color="auto"/>
        <w:right w:val="none" w:sz="0" w:space="0" w:color="auto"/>
      </w:divBdr>
    </w:div>
    <w:div w:id="1865634454">
      <w:bodyDiv w:val="1"/>
      <w:marLeft w:val="0"/>
      <w:marRight w:val="0"/>
      <w:marTop w:val="0"/>
      <w:marBottom w:val="0"/>
      <w:divBdr>
        <w:top w:val="none" w:sz="0" w:space="0" w:color="auto"/>
        <w:left w:val="none" w:sz="0" w:space="0" w:color="auto"/>
        <w:bottom w:val="none" w:sz="0" w:space="0" w:color="auto"/>
        <w:right w:val="none" w:sz="0" w:space="0" w:color="auto"/>
      </w:divBdr>
    </w:div>
    <w:div w:id="1874997490">
      <w:bodyDiv w:val="1"/>
      <w:marLeft w:val="0"/>
      <w:marRight w:val="0"/>
      <w:marTop w:val="0"/>
      <w:marBottom w:val="0"/>
      <w:divBdr>
        <w:top w:val="none" w:sz="0" w:space="0" w:color="auto"/>
        <w:left w:val="none" w:sz="0" w:space="0" w:color="auto"/>
        <w:bottom w:val="none" w:sz="0" w:space="0" w:color="auto"/>
        <w:right w:val="none" w:sz="0" w:space="0" w:color="auto"/>
      </w:divBdr>
    </w:div>
    <w:div w:id="188620957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2881651">
      <w:bodyDiv w:val="1"/>
      <w:marLeft w:val="0"/>
      <w:marRight w:val="0"/>
      <w:marTop w:val="0"/>
      <w:marBottom w:val="0"/>
      <w:divBdr>
        <w:top w:val="none" w:sz="0" w:space="0" w:color="auto"/>
        <w:left w:val="none" w:sz="0" w:space="0" w:color="auto"/>
        <w:bottom w:val="none" w:sz="0" w:space="0" w:color="auto"/>
        <w:right w:val="none" w:sz="0" w:space="0" w:color="auto"/>
      </w:divBdr>
    </w:div>
    <w:div w:id="1893997996">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5600343">
      <w:bodyDiv w:val="1"/>
      <w:marLeft w:val="0"/>
      <w:marRight w:val="0"/>
      <w:marTop w:val="0"/>
      <w:marBottom w:val="0"/>
      <w:divBdr>
        <w:top w:val="none" w:sz="0" w:space="0" w:color="auto"/>
        <w:left w:val="none" w:sz="0" w:space="0" w:color="auto"/>
        <w:bottom w:val="none" w:sz="0" w:space="0" w:color="auto"/>
        <w:right w:val="none" w:sz="0" w:space="0" w:color="auto"/>
      </w:divBdr>
    </w:div>
    <w:div w:id="1931965262">
      <w:bodyDiv w:val="1"/>
      <w:marLeft w:val="0"/>
      <w:marRight w:val="0"/>
      <w:marTop w:val="0"/>
      <w:marBottom w:val="0"/>
      <w:divBdr>
        <w:top w:val="none" w:sz="0" w:space="0" w:color="auto"/>
        <w:left w:val="none" w:sz="0" w:space="0" w:color="auto"/>
        <w:bottom w:val="none" w:sz="0" w:space="0" w:color="auto"/>
        <w:right w:val="none" w:sz="0" w:space="0" w:color="auto"/>
      </w:divBdr>
    </w:div>
    <w:div w:id="1936866142">
      <w:bodyDiv w:val="1"/>
      <w:marLeft w:val="0"/>
      <w:marRight w:val="0"/>
      <w:marTop w:val="0"/>
      <w:marBottom w:val="0"/>
      <w:divBdr>
        <w:top w:val="none" w:sz="0" w:space="0" w:color="auto"/>
        <w:left w:val="none" w:sz="0" w:space="0" w:color="auto"/>
        <w:bottom w:val="none" w:sz="0" w:space="0" w:color="auto"/>
        <w:right w:val="none" w:sz="0" w:space="0" w:color="auto"/>
      </w:divBdr>
    </w:div>
    <w:div w:id="1938512524">
      <w:bodyDiv w:val="1"/>
      <w:marLeft w:val="0"/>
      <w:marRight w:val="0"/>
      <w:marTop w:val="0"/>
      <w:marBottom w:val="0"/>
      <w:divBdr>
        <w:top w:val="none" w:sz="0" w:space="0" w:color="auto"/>
        <w:left w:val="none" w:sz="0" w:space="0" w:color="auto"/>
        <w:bottom w:val="none" w:sz="0" w:space="0" w:color="auto"/>
        <w:right w:val="none" w:sz="0" w:space="0" w:color="auto"/>
      </w:divBdr>
      <w:divsChild>
        <w:div w:id="177240709">
          <w:marLeft w:val="288"/>
          <w:marRight w:val="0"/>
          <w:marTop w:val="0"/>
          <w:marBottom w:val="0"/>
          <w:divBdr>
            <w:top w:val="none" w:sz="0" w:space="0" w:color="auto"/>
            <w:left w:val="none" w:sz="0" w:space="0" w:color="auto"/>
            <w:bottom w:val="none" w:sz="0" w:space="0" w:color="auto"/>
            <w:right w:val="none" w:sz="0" w:space="0" w:color="auto"/>
          </w:divBdr>
        </w:div>
        <w:div w:id="937565901">
          <w:marLeft w:val="288"/>
          <w:marRight w:val="0"/>
          <w:marTop w:val="0"/>
          <w:marBottom w:val="0"/>
          <w:divBdr>
            <w:top w:val="none" w:sz="0" w:space="0" w:color="auto"/>
            <w:left w:val="none" w:sz="0" w:space="0" w:color="auto"/>
            <w:bottom w:val="none" w:sz="0" w:space="0" w:color="auto"/>
            <w:right w:val="none" w:sz="0" w:space="0" w:color="auto"/>
          </w:divBdr>
        </w:div>
        <w:div w:id="1048723151">
          <w:marLeft w:val="288"/>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0233708">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1283308">
      <w:bodyDiv w:val="1"/>
      <w:marLeft w:val="0"/>
      <w:marRight w:val="0"/>
      <w:marTop w:val="0"/>
      <w:marBottom w:val="0"/>
      <w:divBdr>
        <w:top w:val="none" w:sz="0" w:space="0" w:color="auto"/>
        <w:left w:val="none" w:sz="0" w:space="0" w:color="auto"/>
        <w:bottom w:val="none" w:sz="0" w:space="0" w:color="auto"/>
        <w:right w:val="none" w:sz="0" w:space="0" w:color="auto"/>
      </w:divBdr>
    </w:div>
    <w:div w:id="1981961392">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1991784000">
      <w:bodyDiv w:val="1"/>
      <w:marLeft w:val="0"/>
      <w:marRight w:val="0"/>
      <w:marTop w:val="0"/>
      <w:marBottom w:val="0"/>
      <w:divBdr>
        <w:top w:val="none" w:sz="0" w:space="0" w:color="auto"/>
        <w:left w:val="none" w:sz="0" w:space="0" w:color="auto"/>
        <w:bottom w:val="none" w:sz="0" w:space="0" w:color="auto"/>
        <w:right w:val="none" w:sz="0" w:space="0" w:color="auto"/>
      </w:divBdr>
    </w:div>
    <w:div w:id="1993831091">
      <w:bodyDiv w:val="1"/>
      <w:marLeft w:val="0"/>
      <w:marRight w:val="0"/>
      <w:marTop w:val="0"/>
      <w:marBottom w:val="0"/>
      <w:divBdr>
        <w:top w:val="none" w:sz="0" w:space="0" w:color="auto"/>
        <w:left w:val="none" w:sz="0" w:space="0" w:color="auto"/>
        <w:bottom w:val="none" w:sz="0" w:space="0" w:color="auto"/>
        <w:right w:val="none" w:sz="0" w:space="0" w:color="auto"/>
      </w:divBdr>
    </w:div>
    <w:div w:id="2013874420">
      <w:bodyDiv w:val="1"/>
      <w:marLeft w:val="0"/>
      <w:marRight w:val="0"/>
      <w:marTop w:val="0"/>
      <w:marBottom w:val="0"/>
      <w:divBdr>
        <w:top w:val="none" w:sz="0" w:space="0" w:color="auto"/>
        <w:left w:val="none" w:sz="0" w:space="0" w:color="auto"/>
        <w:bottom w:val="none" w:sz="0" w:space="0" w:color="auto"/>
        <w:right w:val="none" w:sz="0" w:space="0" w:color="auto"/>
      </w:divBdr>
    </w:div>
    <w:div w:id="2016108090">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248251">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122199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85642488">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4205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noFill/>
        <a:ln>
          <a:solidFill>
            <a:srgbClr val="FF0000"/>
          </a:solidFill>
        </a:ln>
      </a:spPr>
      <a:bodyPr lIns="0" tIns="0" rIns="0" bIns="0" rtlCol="0" anchor="ctr"/>
      <a:lstStyle/>
      <a:style>
        <a:lnRef idx="2">
          <a:schemeClr val="accent1">
            <a:shade val="50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5AIRPNAIUNRU-1830940522-14770</_dlc_DocId>
    <_dlc_DocIdUrl xmlns="71c5aaf6-e6ce-465b-b873-5148d2a4c105">
      <Url>https://nokia.sharepoint.com/sites/c5g/5gradio/_layouts/15/DocIdRedir.aspx?ID=5AIRPNAIUNRU-1830940522-14770</Url>
      <Description>5AIRPNAIUNRU-1830940522-14770</Description>
    </_dlc_DocIdUrl>
    <HideFromDelve xmlns="71c5aaf6-e6ce-465b-b873-5148d2a4c105">false</HideFromDelve>
    <Information xmlns="3b34c8f0-1ef5-4d1e-bb66-517ce7fe7356" xsi:nil="true"/>
    <Associated_x0020_Task xmlns="3b34c8f0-1ef5-4d1e-bb66-517ce7fe7356" xsi:nil="true"/>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F66FEA1-1A11-43DA-B96F-0EFE4E1262F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purl.org/dc/terms/"/>
    <ds:schemaRef ds:uri="http://schemas.microsoft.com/office/infopath/2007/PartnerControls"/>
    <ds:schemaRef ds:uri="http://schemas.microsoft.com/office/2006/metadata/properties"/>
    <ds:schemaRef ds:uri="http://schemas.openxmlformats.org/package/2006/metadata/core-properties"/>
    <ds:schemaRef ds:uri="ebabf6ce-2443-438c-9946-ecc878e7654a"/>
    <ds:schemaRef ds:uri="95d2e41d-1f11-4347-bb1c-11d6a32975dd"/>
    <ds:schemaRef ds:uri="http://purl.org/dc/dcmitype/"/>
    <ds:schemaRef ds:uri="http://purl.org/dc/elements/1.1/"/>
    <ds:schemaRef ds:uri="3b34c8f0-1ef5-4d1e-bb66-517ce7fe7356"/>
    <ds:schemaRef ds:uri="71c5aaf6-e6ce-465b-b873-5148d2a4c105"/>
    <ds:schemaRef ds:uri="http://www.w3.org/XML/1998/namespace"/>
  </ds:schemaRefs>
</ds:datastoreItem>
</file>

<file path=customXml/itemProps4.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5.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Template>
  <TotalTime>6669</TotalTime>
  <Pages>9</Pages>
  <Words>4955</Words>
  <Characters>30614</Characters>
  <Application>Microsoft Office Word</Application>
  <DocSecurity>0</DocSecurity>
  <Lines>255</Lines>
  <Paragraphs>70</Paragraphs>
  <ScaleCrop>false</ScaleCrop>
  <HeadingPairs>
    <vt:vector size="2" baseType="variant">
      <vt:variant>
        <vt:lpstr>Title</vt:lpstr>
      </vt:variant>
      <vt:variant>
        <vt:i4>1</vt:i4>
      </vt:variant>
    </vt:vector>
  </HeadingPairs>
  <TitlesOfParts>
    <vt:vector size="1" baseType="lpstr">
      <vt:lpstr>R1- 2306815</vt:lpstr>
    </vt:vector>
  </TitlesOfParts>
  <Company>Nokia &amp; NSN</Company>
  <LinksUpToDate>false</LinksUpToDate>
  <CharactersWithSpaces>35499</CharactersWithSpaces>
  <SharedDoc>false</SharedDoc>
  <HLinks>
    <vt:vector size="12" baseType="variant">
      <vt:variant>
        <vt:i4>8257625</vt:i4>
      </vt:variant>
      <vt:variant>
        <vt:i4>3</vt:i4>
      </vt:variant>
      <vt:variant>
        <vt:i4>0</vt:i4>
      </vt:variant>
      <vt:variant>
        <vt:i4>5</vt:i4>
      </vt:variant>
      <vt:variant>
        <vt:lpwstr>mailto:toni.h.lahteensuo@nokia.com</vt:lpwstr>
      </vt:variant>
      <vt:variant>
        <vt:lpwstr/>
      </vt:variant>
      <vt:variant>
        <vt:i4>8257625</vt:i4>
      </vt:variant>
      <vt:variant>
        <vt:i4>0</vt:i4>
      </vt:variant>
      <vt:variant>
        <vt:i4>0</vt:i4>
      </vt:variant>
      <vt:variant>
        <vt:i4>5</vt:i4>
      </vt:variant>
      <vt:variant>
        <vt:lpwstr>mailto:toni.h.lahteensuo@nokia.com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R1-2401294</dc:title>
  <dc:subject/>
  <dc:creator/>
  <cp:keywords/>
  <dc:description/>
  <cp:lastModifiedBy>Mohammed Al-Imari</cp:lastModifiedBy>
  <cp:revision>1856</cp:revision>
  <cp:lastPrinted>2022-04-20T10:29:00Z</cp:lastPrinted>
  <dcterms:created xsi:type="dcterms:W3CDTF">2022-09-30T15:35:00Z</dcterms:created>
  <dcterms:modified xsi:type="dcterms:W3CDTF">2024-02-19T13:08:00Z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a0b63d65-c454-4543-950c-74e1d98bbd7d</vt:lpwstr>
  </property>
  <property fmtid="{D5CDD505-2E9C-101B-9397-08002B2CF9AE}" pid="9" name="MSIP_Label_83bcef13-7cac-433f-ba1d-47a323951816_Enabled">
    <vt:lpwstr>true</vt:lpwstr>
  </property>
  <property fmtid="{D5CDD505-2E9C-101B-9397-08002B2CF9AE}" pid="10" name="MSIP_Label_83bcef13-7cac-433f-ba1d-47a323951816_SetDate">
    <vt:lpwstr>2022-11-01T09:31:29Z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25883a3d-ecf0-4544-b53f-715061f2e957</vt:lpwstr>
  </property>
  <property fmtid="{D5CDD505-2E9C-101B-9397-08002B2CF9AE}" pid="15" name="MSIP_Label_83bcef13-7cac-433f-ba1d-47a323951816_ContentBits">
    <vt:lpwstr>0</vt:lpwstr>
  </property>
</Properties>
</file>